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8793613" w:displacedByCustomXml="next"/>
    <w:bookmarkEnd w:id="0" w:displacedByCustomXml="next"/>
    <w:sdt>
      <w:sdtPr>
        <w:rPr>
          <w:lang w:val="cs-CZ"/>
        </w:rPr>
        <w:id w:val="71938794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bCs/>
          <w:color w:val="538135" w:themeColor="accent6" w:themeShade="BF"/>
          <w:sz w:val="40"/>
          <w:szCs w:val="40"/>
          <w:lang w:eastAsia="pl-PL"/>
        </w:rPr>
      </w:sdtEndPr>
      <w:sdtContent>
        <w:p w:rsidR="00B04D89" w:rsidRPr="00797EA7" w:rsidRDefault="00A46B5A">
          <w:pPr>
            <w:rPr>
              <w:rFonts w:eastAsia="Times New Roman" w:cstheme="minorHAnsi"/>
              <w:b/>
              <w:bCs/>
              <w:color w:val="538135" w:themeColor="accent6" w:themeShade="BF"/>
              <w:sz w:val="40"/>
              <w:szCs w:val="40"/>
              <w:lang w:val="cs-CZ" w:eastAsia="pl-PL"/>
            </w:rPr>
          </w:pPr>
          <w:r w:rsidRPr="00797EA7">
            <w:rPr>
              <w:noProof/>
              <w:lang w:val="cs-CZ" w:eastAsia="pl-PL"/>
            </w:rPr>
            <w:drawing>
              <wp:anchor distT="0" distB="0" distL="114300" distR="114300" simplePos="0" relativeHeight="251667456" behindDoc="1" locked="0" layoutInCell="1" allowOverlap="1" wp14:anchorId="018B9FB3" wp14:editId="2B896CDC">
                <wp:simplePos x="0" y="0"/>
                <wp:positionH relativeFrom="column">
                  <wp:posOffset>662305</wp:posOffset>
                </wp:positionH>
                <wp:positionV relativeFrom="paragraph">
                  <wp:posOffset>539750</wp:posOffset>
                </wp:positionV>
                <wp:extent cx="4424045" cy="4076700"/>
                <wp:effectExtent l="0" t="0" r="0" b="0"/>
                <wp:wrapTight wrapText="bothSides">
                  <wp:wrapPolygon edited="0">
                    <wp:start x="93" y="0"/>
                    <wp:lineTo x="0" y="101"/>
                    <wp:lineTo x="0" y="21297"/>
                    <wp:lineTo x="93" y="21499"/>
                    <wp:lineTo x="21392" y="21499"/>
                    <wp:lineTo x="21485" y="21297"/>
                    <wp:lineTo x="21485" y="101"/>
                    <wp:lineTo x="21392" y="0"/>
                    <wp:lineTo x="93" y="0"/>
                  </wp:wrapPolygon>
                </wp:wrapTight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045" cy="4076700"/>
                        </a:xfrm>
                        <a:prstGeom prst="rect">
                          <a:avLst/>
                        </a:prstGeom>
                        <a:effectLst>
                          <a:softEdge rad="63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3ED9" w:rsidRPr="00797EA7">
            <w:rPr>
              <w:rFonts w:eastAsia="Times New Roman" w:cstheme="minorHAnsi"/>
              <w:b/>
              <w:bCs/>
              <w:noProof/>
              <w:color w:val="538135" w:themeColor="accent6" w:themeShade="BF"/>
              <w:sz w:val="40"/>
              <w:szCs w:val="40"/>
              <w:lang w:val="cs-CZ" w:eastAsia="pl-PL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52CEE032" wp14:editId="5C6B6C45">
                    <wp:simplePos x="0" y="0"/>
                    <wp:positionH relativeFrom="margin">
                      <wp:posOffset>-201295</wp:posOffset>
                    </wp:positionH>
                    <wp:positionV relativeFrom="paragraph">
                      <wp:posOffset>8713145</wp:posOffset>
                    </wp:positionV>
                    <wp:extent cx="6159500" cy="679450"/>
                    <wp:effectExtent l="0" t="0" r="0" b="6350"/>
                    <wp:wrapNone/>
                    <wp:docPr id="1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59500" cy="679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9419" w:type="dxa"/>
                                  <w:tblInd w:w="-34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119"/>
                                  <w:gridCol w:w="6300"/>
                                </w:tblGrid>
                                <w:tr w:rsidR="00797EA7" w:rsidRPr="00FD45A5" w:rsidTr="00A46B5A">
                                  <w:tc>
                                    <w:tcPr>
                                      <w:tcW w:w="3119" w:type="dxa"/>
                                      <w:shd w:val="clear" w:color="auto" w:fill="auto"/>
                                    </w:tcPr>
                                    <w:p w:rsidR="00797EA7" w:rsidRDefault="00797EA7" w:rsidP="002A3ED9">
                                      <w:pPr>
                                        <w:pStyle w:val="Zpa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C09853E" wp14:editId="444991C3">
                                            <wp:extent cx="1843405" cy="386715"/>
                                            <wp:effectExtent l="0" t="0" r="4445" b="0"/>
                                            <wp:docPr id="20" name="Obraz 20" descr="Obraz zawierający tekst&#10;&#10;Opis wygenerowany automatyczni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Obraz 3" descr="Obraz zawierający tekst&#10;&#10;Opis wygenerowany automatycznie"/>
                                                    <pic:cNvPicPr/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843405" cy="38671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6300" w:type="dxa"/>
                                      <w:shd w:val="clear" w:color="auto" w:fill="auto"/>
                                      <w:vAlign w:val="center"/>
                                    </w:tcPr>
                                    <w:p w:rsidR="00797EA7" w:rsidRDefault="00797EA7">
                                      <w:pPr>
                                        <w:pStyle w:val="Zpat"/>
                                        <w:jc w:val="both"/>
                                      </w:pPr>
                                      <w:r w:rsidRPr="00FD45A5">
                                        <w:rPr>
                                          <w:rFonts w:ascii="Tahoma" w:hAnsi="Tahoma" w:cs="Tahoma"/>
                                          <w:sz w:val="18"/>
                                          <w:szCs w:val="18"/>
                                        </w:rPr>
                                        <w:t>Podpora Evropské komise pro vydání této publikace nepředstavuje schválení jejího obsahu, který odráží pouze názory autorů, a Komise nenese odpovědnost za jakékoli použití informací v ní obsažených.</w:t>
                                      </w:r>
                                    </w:p>
                                  </w:tc>
                                </w:tr>
                              </w:tbl>
                              <w:p w:rsidR="00797EA7" w:rsidRPr="002A3ED9" w:rsidRDefault="00797EA7" w:rsidP="002A3ED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CEE03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-15.85pt;margin-top:686.05pt;width:485pt;height:5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" filled="f" stroked="f">
                    <v:textbox>
                      <w:txbxContent>
                        <w:tbl>
                          <w:tblPr>
                            <w:tblW w:w="9419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  <w:gridCol w:w="6300"/>
                          </w:tblGrid>
                          <w:tr w:rsidR="00797EA7" w:rsidRPr="00FD45A5" w:rsidTr="00A46B5A">
                            <w:tc>
                              <w:tcPr>
                                <w:tcW w:w="3119" w:type="dxa"/>
                                <w:shd w:val="clear" w:color="auto" w:fill="auto"/>
                              </w:tcPr>
                              <w:p w:rsidR="00797EA7" w:rsidRDefault="00797EA7" w:rsidP="002A3ED9">
                                <w:pPr>
                                  <w:pStyle w:val="Zpa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09853E" wp14:editId="444991C3">
                                      <wp:extent cx="1843405" cy="386715"/>
                                      <wp:effectExtent l="0" t="0" r="4445" b="0"/>
                                      <wp:docPr id="20" name="Obraz 20" descr="Obraz zawierający tekst&#10;&#10;Opis wygenerowany automatyczni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Obraz 3" descr="Obraz zawierający tekst&#10;&#10;Opis wygenerowany automatycznie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3405" cy="386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300" w:type="dxa"/>
                                <w:shd w:val="clear" w:color="auto" w:fill="auto"/>
                                <w:vAlign w:val="center"/>
                              </w:tcPr>
                              <w:p w:rsidR="00797EA7" w:rsidRDefault="00797EA7">
                                <w:pPr>
                                  <w:pStyle w:val="Zpat"/>
                                  <w:jc w:val="both"/>
                                </w:pPr>
                                <w:r w:rsidRPr="00FD45A5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Podpora Evropské komise pro vydání této publikace nepředstavuje schválení jejího obsahu, který odráží pouze názory autorů, a Komise nenese odpovědnost za jakékoli použití informací v ní obsažených.</w:t>
                                </w:r>
                              </w:p>
                            </w:tc>
                          </w:tr>
                        </w:tbl>
                        <w:p w:rsidR="00797EA7" w:rsidRPr="002A3ED9" w:rsidRDefault="00797EA7" w:rsidP="002A3ED9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A3ED9" w:rsidRPr="00797EA7">
            <w:rPr>
              <w:rFonts w:ascii="Calibri" w:eastAsia="Times New Roman" w:hAnsi="Calibri" w:cs="Times New Roman"/>
              <w:b/>
              <w:bCs/>
              <w:noProof/>
              <w:color w:val="000000"/>
              <w:sz w:val="28"/>
              <w:szCs w:val="28"/>
              <w:lang w:val="cs-CZ" w:eastAsia="pl-PL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6487A1AA" wp14:editId="1B54579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4579030</wp:posOffset>
                    </wp:positionV>
                    <wp:extent cx="7560945" cy="5018567"/>
                    <wp:effectExtent l="0" t="0" r="1905" b="0"/>
                    <wp:wrapNone/>
                    <wp:docPr id="10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945" cy="50185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6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02FB504" id="Rectangle 14" o:spid="_x0000_s1026" style="position:absolute;margin-left:0;margin-top:360.55pt;width:595.35pt;height:395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" stroked="f">
                    <v:fill color2="#538135 [2409]" rotate="t" focus="100%" type="gradient"/>
                    <w10:wrap anchorx="page"/>
                  </v:rect>
                </w:pict>
              </mc:Fallback>
            </mc:AlternateContent>
          </w:r>
          <w:r w:rsidR="0040044D" w:rsidRPr="00797EA7">
            <w:rPr>
              <w:rFonts w:eastAsia="Times New Roman" w:cstheme="minorHAnsi"/>
              <w:b/>
              <w:bCs/>
              <w:noProof/>
              <w:color w:val="538135" w:themeColor="accent6" w:themeShade="BF"/>
              <w:sz w:val="40"/>
              <w:szCs w:val="40"/>
              <w:lang w:val="cs-CZ" w:eastAsia="pl-PL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5EFE953E" wp14:editId="6E10B57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8180070</wp:posOffset>
                    </wp:positionV>
                    <wp:extent cx="4229100" cy="1404620"/>
                    <wp:effectExtent l="0" t="0" r="0" b="0"/>
                    <wp:wrapSquare wrapText="bothSides"/>
                    <wp:docPr id="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eastAsia="pl-PL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eastAsia="pl-PL"/>
                                  </w:rPr>
                                  <w:t>Krakov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EFE953E" id="_x0000_s1027" type="#_x0000_t202" style="position:absolute;margin-left:0;margin-top:644.1pt;width:333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" filled="f" stroked="f">
                    <v:textbox style="mso-fit-shape-to-text:t">
                      <w:txbxContent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sz w:val="40"/>
                              <w:szCs w:val="40"/>
                              <w:lang w:eastAsia="pl-PL"/>
                            </w:rPr>
                          </w:pPr>
                          <w:r>
                            <w:rPr>
                              <w:rFonts w:eastAsia="Times New Roman" w:cstheme="minorHAnsi"/>
                              <w:sz w:val="40"/>
                              <w:szCs w:val="40"/>
                              <w:lang w:eastAsia="pl-PL"/>
                            </w:rPr>
                            <w:t>Krakov 2022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92C65" w:rsidRPr="00797EA7">
            <w:rPr>
              <w:rFonts w:eastAsia="Times New Roman" w:cstheme="minorHAnsi"/>
              <w:b/>
              <w:bCs/>
              <w:noProof/>
              <w:color w:val="538135" w:themeColor="accent6" w:themeShade="BF"/>
              <w:sz w:val="40"/>
              <w:szCs w:val="40"/>
              <w:lang w:val="cs-CZ" w:eastAsia="pl-PL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04DDFA3" wp14:editId="5F51B23A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6127750</wp:posOffset>
                    </wp:positionV>
                    <wp:extent cx="5740400" cy="2019300"/>
                    <wp:effectExtent l="0" t="0" r="0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0400" cy="2019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i/>
                                    <w:iCs/>
                                    <w:color w:val="538135" w:themeColor="accent6" w:themeShade="BF"/>
                                    <w:sz w:val="48"/>
                                    <w:szCs w:val="48"/>
                                    <w:lang w:eastAsia="pl-PL"/>
                                  </w:rPr>
                                </w:pPr>
                                <w:r w:rsidRPr="00F92C65">
                                  <w:rPr>
                                    <w:rFonts w:eastAsia="Times New Roman" w:cstheme="minorHAnsi"/>
                                    <w:b/>
                                    <w:bCs/>
                                    <w:i/>
                                    <w:iCs/>
                                    <w:color w:val="538135" w:themeColor="accent6" w:themeShade="BF"/>
                                    <w:sz w:val="48"/>
                                    <w:szCs w:val="48"/>
                                    <w:lang w:eastAsia="pl-PL"/>
                                  </w:rPr>
                                  <w:t>Výzkumná zpráva SDG Labs</w:t>
                                </w:r>
                              </w:p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  <w:lang w:eastAsia="pl-PL"/>
                                  </w:rPr>
                                </w:pPr>
                                <w:r w:rsidRPr="00F92C65"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  <w:lang w:eastAsia="pl-PL"/>
                                  </w:rPr>
                                  <w:t xml:space="preserve">Zelené dovednosti v oblasti sociální ekonomiky. </w:t>
                                </w:r>
                              </w:p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  <w:lang w:eastAsia="pl-PL"/>
                                  </w:rPr>
                                </w:pPr>
                                <w:r w:rsidRPr="00A46B5A"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538135" w:themeColor="accent6" w:themeShade="BF"/>
                                    <w:sz w:val="36"/>
                                    <w:szCs w:val="42"/>
                                    <w:lang w:eastAsia="pl-PL"/>
                                  </w:rPr>
                                  <w:t xml:space="preserve"> Teoretický model programu Socially Driven Green Labs. </w:t>
                                </w:r>
                                <w:r w:rsidRPr="00A46B5A"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538135" w:themeColor="accent6" w:themeShade="BF"/>
                                    <w:sz w:val="36"/>
                                    <w:szCs w:val="42"/>
                                    <w:lang w:eastAsia="pl-PL"/>
                                  </w:rPr>
                                  <w:br/>
                                </w:r>
                                <w:r w:rsidRPr="00706B83">
                                  <w:rPr>
                                    <w:rFonts w:eastAsia="Times New Roman" w:cstheme="minorHAnsi"/>
                                    <w:b/>
                                    <w:bCs/>
                                    <w:i/>
                                    <w:iCs/>
                                    <w:color w:val="538135" w:themeColor="accent6" w:themeShade="BF"/>
                                    <w:sz w:val="42"/>
                                    <w:szCs w:val="42"/>
                                    <w:lang w:eastAsia="pl-PL"/>
                                  </w:rPr>
                                  <w:t>Technické shrnutí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4DDFA3" id="_x0000_s1028" type="#_x0000_t202" style="position:absolute;margin-left:400.8pt;margin-top:482.5pt;width:452pt;height:15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" filled="f" stroked="f">
                    <v:textbox>
                      <w:txbxContent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i/>
                              <w:iCs/>
                              <w:color w:val="538135" w:themeColor="accent6" w:themeShade="BF"/>
                              <w:sz w:val="48"/>
                              <w:szCs w:val="48"/>
                              <w:lang w:eastAsia="pl-PL"/>
                            </w:rPr>
                          </w:pPr>
                          <w:r w:rsidRPr="00F92C65">
                            <w:rPr>
                              <w:rFonts w:eastAsia="Times New Roman" w:cstheme="minorHAnsi"/>
                              <w:b/>
                              <w:bCs/>
                              <w:i/>
                              <w:iCs/>
                              <w:color w:val="538135" w:themeColor="accent6" w:themeShade="BF"/>
                              <w:sz w:val="48"/>
                              <w:szCs w:val="48"/>
                              <w:lang w:eastAsia="pl-PL"/>
                            </w:rPr>
                            <w:t>Výzkumná zpráva SDG Labs</w:t>
                          </w:r>
                        </w:p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  <w:lang w:eastAsia="pl-PL"/>
                            </w:rPr>
                          </w:pPr>
                          <w:r w:rsidRPr="00F92C65">
                            <w:rPr>
                              <w:rFonts w:eastAsia="Times New Roman" w:cstheme="minorHAnsi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  <w:lang w:eastAsia="pl-PL"/>
                            </w:rPr>
                            <w:t xml:space="preserve">Zelené dovednosti v oblasti sociální ekonomiky. </w:t>
                          </w:r>
                        </w:p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  <w:lang w:eastAsia="pl-PL"/>
                            </w:rPr>
                          </w:pPr>
                          <w:r w:rsidRPr="00A46B5A">
                            <w:rPr>
                              <w:rFonts w:eastAsia="Times New Roman" w:cstheme="minorHAnsi"/>
                              <w:b/>
                              <w:bCs/>
                              <w:color w:val="538135" w:themeColor="accent6" w:themeShade="BF"/>
                              <w:sz w:val="36"/>
                              <w:szCs w:val="42"/>
                              <w:lang w:eastAsia="pl-PL"/>
                            </w:rPr>
                            <w:t xml:space="preserve"> Teoretický model programu Socially Driven Green Labs. </w:t>
                          </w:r>
                          <w:r w:rsidRPr="00A46B5A">
                            <w:rPr>
                              <w:rFonts w:eastAsia="Times New Roman" w:cstheme="minorHAnsi"/>
                              <w:b/>
                              <w:bCs/>
                              <w:color w:val="538135" w:themeColor="accent6" w:themeShade="BF"/>
                              <w:sz w:val="36"/>
                              <w:szCs w:val="42"/>
                              <w:lang w:eastAsia="pl-PL"/>
                            </w:rPr>
                            <w:br/>
                          </w:r>
                          <w:r w:rsidRPr="00706B83">
                            <w:rPr>
                              <w:rFonts w:eastAsia="Times New Roman" w:cstheme="minorHAnsi"/>
                              <w:b/>
                              <w:bCs/>
                              <w:i/>
                              <w:iCs/>
                              <w:color w:val="538135" w:themeColor="accent6" w:themeShade="BF"/>
                              <w:sz w:val="42"/>
                              <w:szCs w:val="42"/>
                              <w:lang w:eastAsia="pl-PL"/>
                            </w:rPr>
                            <w:t>Technické shrnutí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92C65" w:rsidRPr="00797EA7">
            <w:rPr>
              <w:rFonts w:eastAsia="Times New Roman" w:cstheme="minorHAnsi"/>
              <w:b/>
              <w:bCs/>
              <w:noProof/>
              <w:color w:val="538135" w:themeColor="accent6" w:themeShade="BF"/>
              <w:sz w:val="40"/>
              <w:szCs w:val="40"/>
              <w:lang w:val="cs-CZ" w:eastAsia="pl-PL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25FB7DAB" wp14:editId="648F272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4667250</wp:posOffset>
                    </wp:positionV>
                    <wp:extent cx="4229100" cy="1404620"/>
                    <wp:effectExtent l="0" t="0" r="0" b="0"/>
                    <wp:wrapSquare wrapText="bothSides"/>
                    <wp:docPr id="1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val="pl-PL" w:eastAsia="pl-PL"/>
                                  </w:rPr>
                                </w:pPr>
                                <w:r w:rsidRPr="002A3ED9"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val="pl-PL" w:eastAsia="pl-PL"/>
                                  </w:rPr>
                                  <w:t>Katarzyna Kowalska</w:t>
                                </w:r>
                              </w:p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val="pl-PL" w:eastAsia="pl-PL"/>
                                  </w:rPr>
                                </w:pPr>
                                <w:r w:rsidRPr="00876498"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val="pl-PL" w:eastAsia="pl-PL"/>
                                  </w:rPr>
                                  <w:t xml:space="preserve">Elżbieta Szczygieł </w:t>
                                </w:r>
                              </w:p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val="pl-PL" w:eastAsia="pl-PL"/>
                                  </w:rPr>
                                </w:pPr>
                                <w:r w:rsidRPr="00876498"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val="pl-PL" w:eastAsia="pl-PL"/>
                                  </w:rPr>
                                  <w:t>Paulina Szyja</w:t>
                                </w:r>
                              </w:p>
                              <w:p w:rsidR="00797EA7" w:rsidRDefault="00797EA7">
                                <w:pPr>
                                  <w:jc w:val="center"/>
                                  <w:textAlignment w:val="baseline"/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eastAsia="pl-PL"/>
                                  </w:rPr>
                                </w:pPr>
                                <w:r w:rsidRPr="00F92C65">
                                  <w:rPr>
                                    <w:rFonts w:eastAsia="Times New Roman" w:cstheme="minorHAnsi"/>
                                    <w:sz w:val="40"/>
                                    <w:szCs w:val="40"/>
                                    <w:lang w:eastAsia="pl-PL"/>
                                  </w:rPr>
                                  <w:t>Renata Śliwa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5FB7DAB" id="_x0000_s1029" type="#_x0000_t202" style="position:absolute;margin-left:0;margin-top:367.5pt;width:333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" filled="f" stroked="f">
                    <v:textbox style="mso-fit-shape-to-text:t">
                      <w:txbxContent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sz w:val="40"/>
                              <w:szCs w:val="40"/>
                              <w:lang w:val="pl-PL" w:eastAsia="pl-PL"/>
                            </w:rPr>
                          </w:pPr>
                          <w:r w:rsidRPr="002A3ED9">
                            <w:rPr>
                              <w:rFonts w:eastAsia="Times New Roman" w:cstheme="minorHAnsi"/>
                              <w:sz w:val="40"/>
                              <w:szCs w:val="40"/>
                              <w:lang w:val="pl-PL" w:eastAsia="pl-PL"/>
                            </w:rPr>
                            <w:t>Katarzyna Kowalska</w:t>
                          </w:r>
                        </w:p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sz w:val="40"/>
                              <w:szCs w:val="40"/>
                              <w:lang w:val="pl-PL" w:eastAsia="pl-PL"/>
                            </w:rPr>
                          </w:pPr>
                          <w:r w:rsidRPr="00876498">
                            <w:rPr>
                              <w:rFonts w:eastAsia="Times New Roman" w:cstheme="minorHAnsi"/>
                              <w:sz w:val="40"/>
                              <w:szCs w:val="40"/>
                              <w:lang w:val="pl-PL" w:eastAsia="pl-PL"/>
                            </w:rPr>
                            <w:t xml:space="preserve">Elżbieta Szczygieł </w:t>
                          </w:r>
                        </w:p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sz w:val="40"/>
                              <w:szCs w:val="40"/>
                              <w:lang w:val="pl-PL" w:eastAsia="pl-PL"/>
                            </w:rPr>
                          </w:pPr>
                          <w:r w:rsidRPr="00876498">
                            <w:rPr>
                              <w:rFonts w:eastAsia="Times New Roman" w:cstheme="minorHAnsi"/>
                              <w:sz w:val="40"/>
                              <w:szCs w:val="40"/>
                              <w:lang w:val="pl-PL" w:eastAsia="pl-PL"/>
                            </w:rPr>
                            <w:t>Paulina Szyja</w:t>
                          </w:r>
                        </w:p>
                        <w:p w:rsidR="00797EA7" w:rsidRDefault="00797EA7">
                          <w:pPr>
                            <w:jc w:val="center"/>
                            <w:textAlignment w:val="baseline"/>
                            <w:rPr>
                              <w:rFonts w:eastAsia="Times New Roman" w:cstheme="minorHAnsi"/>
                              <w:sz w:val="40"/>
                              <w:szCs w:val="40"/>
                              <w:lang w:eastAsia="pl-PL"/>
                            </w:rPr>
                          </w:pPr>
                          <w:r w:rsidRPr="00F92C65">
                            <w:rPr>
                              <w:rFonts w:eastAsia="Times New Roman" w:cstheme="minorHAnsi"/>
                              <w:sz w:val="40"/>
                              <w:szCs w:val="40"/>
                              <w:lang w:eastAsia="pl-PL"/>
                            </w:rPr>
                            <w:t>Renata Śliwa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86E79" w:rsidRPr="00797EA7">
            <w:rPr>
              <w:rFonts w:eastAsia="Times New Roman" w:cstheme="minorHAnsi"/>
              <w:b/>
              <w:bCs/>
              <w:color w:val="538135" w:themeColor="accent6" w:themeShade="BF"/>
              <w:sz w:val="40"/>
              <w:szCs w:val="40"/>
              <w:lang w:val="cs-CZ" w:eastAsia="pl-PL"/>
            </w:rPr>
            <w:br w:type="page"/>
          </w:r>
        </w:p>
      </w:sdtContent>
    </w:sdt>
    <w:p w:rsidR="00B04D89" w:rsidRPr="00797EA7" w:rsidRDefault="00A46B5A">
      <w:pPr>
        <w:jc w:val="both"/>
        <w:rPr>
          <w:lang w:val="cs-CZ"/>
        </w:rPr>
      </w:pPr>
      <w:r w:rsidRPr="00797EA7">
        <w:rPr>
          <w:lang w:val="cs-CZ"/>
        </w:rPr>
        <w:lastRenderedPageBreak/>
        <w:t xml:space="preserve">"Výzkumná zpráva SDG </w:t>
      </w:r>
      <w:proofErr w:type="spellStart"/>
      <w:r w:rsidRPr="00797EA7">
        <w:rPr>
          <w:lang w:val="cs-CZ"/>
        </w:rPr>
        <w:t>Labs</w:t>
      </w:r>
      <w:proofErr w:type="spellEnd"/>
      <w:r w:rsidRPr="00797EA7">
        <w:rPr>
          <w:lang w:val="cs-CZ"/>
        </w:rPr>
        <w:t xml:space="preserve">. Zelené dovednosti v (oblasti) sociální ekonomiky. </w:t>
      </w: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 xml:space="preserve"> Teoretický model programu </w:t>
      </w:r>
      <w:proofErr w:type="spellStart"/>
      <w:r w:rsidRPr="00797EA7">
        <w:rPr>
          <w:lang w:val="cs-CZ"/>
        </w:rPr>
        <w:t>Socially</w:t>
      </w:r>
      <w:proofErr w:type="spellEnd"/>
      <w:r w:rsidRPr="00797EA7">
        <w:rPr>
          <w:lang w:val="cs-CZ"/>
        </w:rPr>
        <w:t xml:space="preserve"> </w:t>
      </w:r>
      <w:proofErr w:type="spellStart"/>
      <w:r w:rsidRPr="00797EA7">
        <w:rPr>
          <w:lang w:val="cs-CZ"/>
        </w:rPr>
        <w:t>Driven</w:t>
      </w:r>
      <w:proofErr w:type="spellEnd"/>
      <w:r w:rsidRPr="00797EA7">
        <w:rPr>
          <w:lang w:val="cs-CZ"/>
        </w:rPr>
        <w:t xml:space="preserve"> Green </w:t>
      </w:r>
      <w:proofErr w:type="spellStart"/>
      <w:r w:rsidRPr="00797EA7">
        <w:rPr>
          <w:lang w:val="cs-CZ"/>
        </w:rPr>
        <w:t>Labs</w:t>
      </w:r>
      <w:proofErr w:type="spellEnd"/>
      <w:r w:rsidR="001161DB" w:rsidRPr="00797EA7">
        <w:rPr>
          <w:lang w:val="cs-CZ"/>
        </w:rPr>
        <w:t xml:space="preserve">. </w:t>
      </w:r>
      <w:r w:rsidR="001161DB" w:rsidRPr="00797EA7">
        <w:rPr>
          <w:i/>
          <w:iCs/>
          <w:lang w:val="cs-CZ"/>
        </w:rPr>
        <w:t xml:space="preserve">Technické </w:t>
      </w:r>
      <w:r w:rsidR="001F40CE" w:rsidRPr="00797EA7">
        <w:rPr>
          <w:i/>
          <w:iCs/>
          <w:lang w:val="cs-CZ"/>
        </w:rPr>
        <w:t>shrnutí</w:t>
      </w:r>
      <w:r w:rsidRPr="00797EA7">
        <w:rPr>
          <w:lang w:val="cs-CZ"/>
        </w:rPr>
        <w:t>"</w:t>
      </w: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 xml:space="preserve">aut. </w:t>
      </w:r>
      <w:proofErr w:type="spellStart"/>
      <w:r w:rsidRPr="00797EA7">
        <w:rPr>
          <w:lang w:val="cs-CZ"/>
        </w:rPr>
        <w:t>Katarzyna</w:t>
      </w:r>
      <w:proofErr w:type="spellEnd"/>
      <w:r w:rsidRPr="00797EA7">
        <w:rPr>
          <w:lang w:val="cs-CZ"/>
        </w:rPr>
        <w:t xml:space="preserve"> </w:t>
      </w:r>
      <w:proofErr w:type="spellStart"/>
      <w:r w:rsidRPr="00797EA7">
        <w:rPr>
          <w:lang w:val="cs-CZ"/>
        </w:rPr>
        <w:t>Kowalska</w:t>
      </w:r>
      <w:proofErr w:type="spellEnd"/>
      <w:r w:rsidRPr="00797EA7">
        <w:rPr>
          <w:lang w:val="cs-CZ"/>
        </w:rPr>
        <w:t xml:space="preserve">, Elżbieta Szczygieł, Paulina </w:t>
      </w:r>
      <w:proofErr w:type="spellStart"/>
      <w:r w:rsidRPr="00797EA7">
        <w:rPr>
          <w:lang w:val="cs-CZ"/>
        </w:rPr>
        <w:t>Szyja</w:t>
      </w:r>
      <w:proofErr w:type="spellEnd"/>
      <w:r w:rsidRPr="00797EA7">
        <w:rPr>
          <w:lang w:val="cs-CZ"/>
        </w:rPr>
        <w:t xml:space="preserve">, Renata </w:t>
      </w:r>
      <w:proofErr w:type="spellStart"/>
      <w:r w:rsidRPr="00797EA7">
        <w:rPr>
          <w:lang w:val="cs-CZ"/>
        </w:rPr>
        <w:t>Śliwa</w:t>
      </w:r>
      <w:proofErr w:type="spellEnd"/>
    </w:p>
    <w:p w:rsidR="00A43A5A" w:rsidRPr="00797EA7" w:rsidRDefault="00A43A5A" w:rsidP="00A43A5A">
      <w:pPr>
        <w:rPr>
          <w:lang w:val="cs-CZ"/>
        </w:rPr>
      </w:pPr>
    </w:p>
    <w:p w:rsidR="00A43A5A" w:rsidRPr="00797EA7" w:rsidRDefault="00A43A5A" w:rsidP="00A43A5A">
      <w:pPr>
        <w:rPr>
          <w:lang w:val="cs-CZ"/>
        </w:rPr>
      </w:pPr>
    </w:p>
    <w:p w:rsidR="00A43A5A" w:rsidRPr="00797EA7" w:rsidRDefault="00A43A5A" w:rsidP="00A43A5A">
      <w:pPr>
        <w:rPr>
          <w:lang w:val="cs-CZ"/>
        </w:rPr>
      </w:pPr>
    </w:p>
    <w:p w:rsidR="006213C3" w:rsidRPr="00797EA7" w:rsidRDefault="006213C3" w:rsidP="00AC3704">
      <w:pPr>
        <w:rPr>
          <w:lang w:val="cs-CZ"/>
        </w:rPr>
      </w:pP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>Tato publikace je výsledkem projektu "</w:t>
      </w:r>
      <w:r w:rsidR="00AC3704" w:rsidRPr="00797EA7">
        <w:rPr>
          <w:lang w:val="cs-CZ"/>
        </w:rPr>
        <w:t xml:space="preserve">Využití potenciálu sociální ekonomiky k zelené transformaci prostřednictvím zřízení sociálně orientovaných zelených laboratoří na univerzitách" </w:t>
      </w:r>
      <w:r w:rsidRPr="00797EA7">
        <w:rPr>
          <w:lang w:val="cs-CZ"/>
        </w:rPr>
        <w:t xml:space="preserve">(SDG </w:t>
      </w:r>
      <w:proofErr w:type="spellStart"/>
      <w:r w:rsidRPr="00797EA7">
        <w:rPr>
          <w:lang w:val="cs-CZ"/>
        </w:rPr>
        <w:t>Labs</w:t>
      </w:r>
      <w:proofErr w:type="spellEnd"/>
      <w:r w:rsidRPr="00797EA7">
        <w:rPr>
          <w:lang w:val="cs-CZ"/>
        </w:rPr>
        <w:t>).</w:t>
      </w: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>Číslo projektu: 2021-1-PL01-KA220-HED-000032077</w:t>
      </w:r>
    </w:p>
    <w:p w:rsidR="00AC3704" w:rsidRPr="00797EA7" w:rsidRDefault="00AC3704" w:rsidP="00A43A5A">
      <w:pPr>
        <w:rPr>
          <w:lang w:val="cs-CZ"/>
        </w:rPr>
      </w:pPr>
    </w:p>
    <w:p w:rsidR="006213C3" w:rsidRPr="00797EA7" w:rsidRDefault="006213C3" w:rsidP="00A43A5A">
      <w:pPr>
        <w:rPr>
          <w:lang w:val="cs-CZ"/>
        </w:rPr>
      </w:pP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>Poděkování: Autoři by rádi poděkovali partnerským institucím projektu.</w:t>
      </w:r>
    </w:p>
    <w:p w:rsidR="006213C3" w:rsidRPr="00797EA7" w:rsidRDefault="006213C3" w:rsidP="00A43A5A">
      <w:pPr>
        <w:rPr>
          <w:u w:val="single"/>
          <w:lang w:val="cs-CZ"/>
        </w:rPr>
      </w:pPr>
    </w:p>
    <w:p w:rsidR="006213C3" w:rsidRPr="00797EA7" w:rsidRDefault="006213C3" w:rsidP="00A43A5A">
      <w:pPr>
        <w:rPr>
          <w:u w:val="single"/>
          <w:lang w:val="cs-CZ"/>
        </w:rPr>
      </w:pPr>
    </w:p>
    <w:p w:rsidR="00B04D89" w:rsidRPr="00797EA7" w:rsidRDefault="00A46B5A">
      <w:pPr>
        <w:rPr>
          <w:u w:val="single"/>
          <w:lang w:val="cs-CZ"/>
        </w:rPr>
      </w:pPr>
      <w:r w:rsidRPr="00797EA7">
        <w:rPr>
          <w:u w:val="single"/>
          <w:lang w:val="cs-CZ"/>
        </w:rPr>
        <w:t>Verze: 1.0</w:t>
      </w:r>
    </w:p>
    <w:p w:rsidR="00644B4E" w:rsidRPr="00797EA7" w:rsidRDefault="00644B4E" w:rsidP="00A43A5A">
      <w:pPr>
        <w:rPr>
          <w:lang w:val="cs-CZ"/>
        </w:rPr>
      </w:pP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 xml:space="preserve">Obrázek na obálce: </w:t>
      </w:r>
      <w:proofErr w:type="spellStart"/>
      <w:r w:rsidRPr="00797EA7">
        <w:rPr>
          <w:lang w:val="cs-CZ"/>
        </w:rPr>
        <w:t>Pexels</w:t>
      </w:r>
      <w:proofErr w:type="spellEnd"/>
      <w:r w:rsidRPr="00797EA7">
        <w:rPr>
          <w:lang w:val="cs-CZ"/>
        </w:rPr>
        <w:t>-on pixabay.com</w:t>
      </w:r>
    </w:p>
    <w:p w:rsidR="00A43A5A" w:rsidRPr="00797EA7" w:rsidRDefault="00A43A5A" w:rsidP="00A43A5A">
      <w:pPr>
        <w:rPr>
          <w:lang w:val="cs-CZ"/>
        </w:rPr>
      </w:pPr>
    </w:p>
    <w:p w:rsidR="00B04D89" w:rsidRPr="00797EA7" w:rsidRDefault="00A46B5A">
      <w:pPr>
        <w:rPr>
          <w:lang w:val="cs-CZ"/>
        </w:rPr>
      </w:pPr>
      <w:r w:rsidRPr="00797EA7">
        <w:rPr>
          <w:noProof/>
          <w:lang w:val="cs-CZ"/>
        </w:rPr>
        <w:drawing>
          <wp:inline distT="0" distB="0" distL="0" distR="0" wp14:anchorId="53CC9BD5" wp14:editId="5BF1110C">
            <wp:extent cx="838200" cy="29527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EA7">
        <w:rPr>
          <w:lang w:val="cs-CZ"/>
        </w:rPr>
        <w:t xml:space="preserve"> Uveďte autora-Neužívejte komerčně-</w:t>
      </w:r>
      <w:proofErr w:type="spellStart"/>
      <w:r w:rsidRPr="00797EA7">
        <w:rPr>
          <w:lang w:val="cs-CZ"/>
        </w:rPr>
        <w:t>ShareAlike</w:t>
      </w:r>
      <w:proofErr w:type="spellEnd"/>
      <w:r w:rsidRPr="00797EA7">
        <w:rPr>
          <w:lang w:val="cs-CZ"/>
        </w:rPr>
        <w:t xml:space="preserve"> 4.0 International (CC BY-NC-SA 4.0)</w:t>
      </w:r>
    </w:p>
    <w:p w:rsidR="00644B4E" w:rsidRPr="00797EA7" w:rsidRDefault="00644B4E" w:rsidP="00A43A5A">
      <w:pPr>
        <w:rPr>
          <w:lang w:val="cs-CZ"/>
        </w:rPr>
      </w:pPr>
    </w:p>
    <w:p w:rsidR="00644B4E" w:rsidRPr="00797EA7" w:rsidRDefault="00644B4E" w:rsidP="00A43A5A">
      <w:pPr>
        <w:rPr>
          <w:lang w:val="cs-CZ"/>
        </w:rPr>
      </w:pPr>
    </w:p>
    <w:p w:rsidR="006213C3" w:rsidRPr="00797EA7" w:rsidRDefault="006213C3" w:rsidP="00A43A5A">
      <w:pPr>
        <w:rPr>
          <w:lang w:val="cs-CZ"/>
        </w:rPr>
      </w:pPr>
    </w:p>
    <w:p w:rsidR="00644B4E" w:rsidRPr="00797EA7" w:rsidRDefault="00644B4E" w:rsidP="00A43A5A">
      <w:pPr>
        <w:rPr>
          <w:lang w:val="cs-CZ"/>
        </w:rPr>
      </w:pPr>
    </w:p>
    <w:p w:rsidR="00644B4E" w:rsidRPr="00797EA7" w:rsidRDefault="00644B4E" w:rsidP="00A43A5A">
      <w:pPr>
        <w:rPr>
          <w:lang w:val="cs-CZ"/>
        </w:rPr>
      </w:pPr>
    </w:p>
    <w:p w:rsidR="00644B4E" w:rsidRPr="00797EA7" w:rsidRDefault="00644B4E" w:rsidP="00A43A5A">
      <w:pPr>
        <w:rPr>
          <w:lang w:val="cs-CZ"/>
        </w:rPr>
      </w:pPr>
    </w:p>
    <w:p w:rsidR="00644B4E" w:rsidRPr="00797EA7" w:rsidRDefault="00644B4E" w:rsidP="00A43A5A">
      <w:pPr>
        <w:rPr>
          <w:lang w:val="cs-CZ"/>
        </w:rPr>
      </w:pPr>
    </w:p>
    <w:p w:rsidR="00644B4E" w:rsidRPr="00797EA7" w:rsidRDefault="00644B4E" w:rsidP="00A43A5A">
      <w:pPr>
        <w:rPr>
          <w:lang w:val="cs-CZ"/>
        </w:rPr>
      </w:pPr>
    </w:p>
    <w:p w:rsidR="003E0312" w:rsidRPr="00797EA7" w:rsidRDefault="003E0312" w:rsidP="003E0312">
      <w:pPr>
        <w:rPr>
          <w:lang w:val="cs-CZ"/>
        </w:rPr>
      </w:pPr>
    </w:p>
    <w:p w:rsidR="00CA00DA" w:rsidRPr="00797EA7" w:rsidRDefault="00CA00DA" w:rsidP="003E0312">
      <w:pPr>
        <w:rPr>
          <w:lang w:val="cs-CZ"/>
        </w:rPr>
      </w:pPr>
    </w:p>
    <w:p w:rsidR="00CA00DA" w:rsidRPr="00797EA7" w:rsidRDefault="00CA00DA" w:rsidP="003E0312">
      <w:pPr>
        <w:rPr>
          <w:lang w:val="cs-CZ"/>
        </w:rPr>
      </w:pPr>
    </w:p>
    <w:p w:rsidR="00CA00DA" w:rsidRPr="00797EA7" w:rsidRDefault="00CA00DA" w:rsidP="003E0312">
      <w:pPr>
        <w:rPr>
          <w:lang w:val="cs-CZ"/>
        </w:rPr>
      </w:pPr>
    </w:p>
    <w:p w:rsidR="00CA00DA" w:rsidRPr="00797EA7" w:rsidRDefault="00CA00DA" w:rsidP="003E0312">
      <w:pPr>
        <w:rPr>
          <w:lang w:val="cs-CZ"/>
        </w:rPr>
      </w:pPr>
    </w:p>
    <w:p w:rsidR="00CA00DA" w:rsidRPr="00797EA7" w:rsidRDefault="00CA00DA" w:rsidP="003E0312">
      <w:pPr>
        <w:rPr>
          <w:lang w:val="cs-CZ"/>
        </w:rPr>
      </w:pPr>
    </w:p>
    <w:p w:rsidR="00CA00DA" w:rsidRPr="00797EA7" w:rsidRDefault="00CA00DA" w:rsidP="003E0312">
      <w:pPr>
        <w:rPr>
          <w:lang w:val="cs-CZ"/>
        </w:rPr>
      </w:pPr>
    </w:p>
    <w:p w:rsidR="00B04D89" w:rsidRPr="00797EA7" w:rsidRDefault="00A46B5A">
      <w:pPr>
        <w:rPr>
          <w:lang w:val="cs-CZ"/>
        </w:rPr>
      </w:pPr>
      <w:proofErr w:type="spellStart"/>
      <w:r w:rsidRPr="00797EA7">
        <w:rPr>
          <w:lang w:val="cs-CZ"/>
        </w:rPr>
        <w:t>Uniwersytet</w:t>
      </w:r>
      <w:proofErr w:type="spellEnd"/>
      <w:r w:rsidRPr="00797EA7">
        <w:rPr>
          <w:lang w:val="cs-CZ"/>
        </w:rPr>
        <w:t xml:space="preserve"> </w:t>
      </w:r>
      <w:proofErr w:type="spellStart"/>
      <w:r w:rsidRPr="00797EA7">
        <w:rPr>
          <w:lang w:val="cs-CZ"/>
        </w:rPr>
        <w:t>Pedagogiczny</w:t>
      </w:r>
      <w:proofErr w:type="spellEnd"/>
      <w:r w:rsidRPr="00797EA7">
        <w:rPr>
          <w:lang w:val="cs-CZ"/>
        </w:rPr>
        <w:t xml:space="preserve"> </w:t>
      </w:r>
      <w:proofErr w:type="spellStart"/>
      <w:r w:rsidRPr="00797EA7">
        <w:rPr>
          <w:lang w:val="cs-CZ"/>
        </w:rPr>
        <w:t>im</w:t>
      </w:r>
      <w:proofErr w:type="spellEnd"/>
      <w:r w:rsidRPr="00797EA7">
        <w:rPr>
          <w:lang w:val="cs-CZ"/>
        </w:rPr>
        <w:t xml:space="preserve">. </w:t>
      </w:r>
      <w:proofErr w:type="spellStart"/>
      <w:r w:rsidRPr="00797EA7">
        <w:rPr>
          <w:lang w:val="cs-CZ"/>
        </w:rPr>
        <w:t>Komisji</w:t>
      </w:r>
      <w:proofErr w:type="spellEnd"/>
      <w:r w:rsidRPr="00797EA7">
        <w:rPr>
          <w:lang w:val="cs-CZ"/>
        </w:rPr>
        <w:t xml:space="preserve"> </w:t>
      </w:r>
      <w:proofErr w:type="spellStart"/>
      <w:r w:rsidRPr="00797EA7">
        <w:rPr>
          <w:lang w:val="cs-CZ"/>
        </w:rPr>
        <w:t>Edukacji</w:t>
      </w:r>
      <w:proofErr w:type="spellEnd"/>
      <w:r w:rsidRPr="00797EA7">
        <w:rPr>
          <w:lang w:val="cs-CZ"/>
        </w:rPr>
        <w:t xml:space="preserve"> </w:t>
      </w:r>
      <w:proofErr w:type="spellStart"/>
      <w:r w:rsidRPr="00797EA7">
        <w:rPr>
          <w:lang w:val="cs-CZ"/>
        </w:rPr>
        <w:t>Narodowej</w:t>
      </w:r>
      <w:proofErr w:type="spellEnd"/>
      <w:r w:rsidRPr="00797EA7">
        <w:rPr>
          <w:lang w:val="cs-CZ"/>
        </w:rPr>
        <w:t xml:space="preserve"> w </w:t>
      </w:r>
      <w:proofErr w:type="spellStart"/>
      <w:r w:rsidRPr="00797EA7">
        <w:rPr>
          <w:lang w:val="cs-CZ"/>
        </w:rPr>
        <w:t>Krakowie</w:t>
      </w:r>
      <w:proofErr w:type="spellEnd"/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 xml:space="preserve">ul. </w:t>
      </w:r>
      <w:proofErr w:type="spellStart"/>
      <w:r w:rsidRPr="00797EA7">
        <w:rPr>
          <w:lang w:val="cs-CZ"/>
        </w:rPr>
        <w:t>Podchorążych</w:t>
      </w:r>
      <w:proofErr w:type="spellEnd"/>
      <w:r w:rsidRPr="00797EA7">
        <w:rPr>
          <w:lang w:val="cs-CZ"/>
        </w:rPr>
        <w:t xml:space="preserve"> 2, </w:t>
      </w: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>30-084 Krakov</w:t>
      </w:r>
      <w:r w:rsidR="00C64DD3" w:rsidRPr="00797EA7">
        <w:rPr>
          <w:lang w:val="cs-CZ"/>
        </w:rPr>
        <w:t>, POLSKO</w:t>
      </w:r>
    </w:p>
    <w:p w:rsidR="003E0312" w:rsidRPr="00797EA7" w:rsidRDefault="003E0312" w:rsidP="003E0312">
      <w:pPr>
        <w:rPr>
          <w:lang w:val="cs-CZ"/>
        </w:rPr>
      </w:pP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>Krakov 2022</w:t>
      </w:r>
    </w:p>
    <w:p w:rsidR="00B04D89" w:rsidRPr="00797EA7" w:rsidRDefault="00A46B5A">
      <w:pPr>
        <w:jc w:val="both"/>
        <w:rPr>
          <w:rFonts w:cstheme="minorHAnsi"/>
          <w:sz w:val="2"/>
          <w:szCs w:val="2"/>
          <w:lang w:val="cs-CZ"/>
        </w:rPr>
      </w:pPr>
      <w:r w:rsidRPr="00797EA7">
        <w:rPr>
          <w:rFonts w:eastAsia="Times New Roman" w:cstheme="minorHAnsi"/>
          <w:b/>
          <w:bCs/>
          <w:noProof/>
          <w:color w:val="538135" w:themeColor="accent6" w:themeShade="BF"/>
          <w:sz w:val="40"/>
          <w:szCs w:val="4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4F211" wp14:editId="1AB74994">
                <wp:simplePos x="0" y="0"/>
                <wp:positionH relativeFrom="margin">
                  <wp:align>center</wp:align>
                </wp:positionH>
                <wp:positionV relativeFrom="paragraph">
                  <wp:posOffset>418336</wp:posOffset>
                </wp:positionV>
                <wp:extent cx="6159500" cy="679450"/>
                <wp:effectExtent l="0" t="0" r="0" b="63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19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6300"/>
                            </w:tblGrid>
                            <w:tr w:rsidR="00797EA7" w:rsidRPr="00FD45A5" w:rsidTr="00A46B5A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797EA7" w:rsidRDefault="00797EA7" w:rsidP="002A3ED9">
                                  <w:pPr>
                                    <w:pStyle w:val="Zpa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313516" wp14:editId="01CE66FC">
                                        <wp:extent cx="1843405" cy="386715"/>
                                        <wp:effectExtent l="0" t="0" r="4445" b="0"/>
                                        <wp:docPr id="16" name="Obraz 16" descr="Obraz zawierający tekst&#10;&#10;Opis wygenerowany automatyczni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Obraz 3" descr="Obraz zawierający tekst&#10;&#10;Opis wygenerowany automatycznie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3405" cy="386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shd w:val="clear" w:color="auto" w:fill="auto"/>
                                  <w:vAlign w:val="center"/>
                                </w:tcPr>
                                <w:p w:rsidR="00797EA7" w:rsidRDefault="00797EA7">
                                  <w:pPr>
                                    <w:pStyle w:val="Zpat"/>
                                    <w:jc w:val="both"/>
                                  </w:pPr>
                                  <w:r w:rsidRPr="00FD45A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Podpora Evropské komise pro vydání této publikace nepředstavuje schválení jejího obsahu, který odráží pouze názory autorů, a Komise nenese odpovědnost za jakékoli použití informací v ní obsažených.</w:t>
                                  </w:r>
                                </w:p>
                              </w:tc>
                            </w:tr>
                          </w:tbl>
                          <w:p w:rsidR="00797EA7" w:rsidRPr="002A3ED9" w:rsidRDefault="00797EA7" w:rsidP="002A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F211" id="_x0000_s1030" type="#_x0000_t202" style="position:absolute;left:0;text-align:left;margin-left:0;margin-top:32.95pt;width:485pt;height:53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" stroked="f">
                <v:textbox>
                  <w:txbxContent>
                    <w:tbl>
                      <w:tblPr>
                        <w:tblW w:w="9419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6300"/>
                      </w:tblGrid>
                      <w:tr w:rsidR="00797EA7" w:rsidRPr="00FD45A5" w:rsidTr="00A46B5A"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797EA7" w:rsidRDefault="00797EA7" w:rsidP="002A3ED9">
                            <w:pPr>
                              <w:pStyle w:val="Zpa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13516" wp14:editId="01CE66FC">
                                  <wp:extent cx="1843405" cy="386715"/>
                                  <wp:effectExtent l="0" t="0" r="4445" b="0"/>
                                  <wp:docPr id="16" name="Obraz 16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Obraz zawierający tekst&#10;&#10;Opis wygenerowany automatyczni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05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00" w:type="dxa"/>
                            <w:shd w:val="clear" w:color="auto" w:fill="auto"/>
                            <w:vAlign w:val="center"/>
                          </w:tcPr>
                          <w:p w:rsidR="00797EA7" w:rsidRDefault="00797EA7">
                            <w:pPr>
                              <w:pStyle w:val="Zpat"/>
                              <w:jc w:val="both"/>
                            </w:pPr>
                            <w:r w:rsidRPr="00FD45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Podpora Evropské komise pro vydání této publikace nepředstavuje schválení jejího obsahu, který odráží pouze názory autorů, a Komise nenese odpovědnost za jakékoli použití informací v ní obsažených.</w:t>
                            </w:r>
                          </w:p>
                        </w:tc>
                      </w:tr>
                    </w:tbl>
                    <w:p w:rsidR="00797EA7" w:rsidRPr="002A3ED9" w:rsidRDefault="00797EA7" w:rsidP="002A3ED9"/>
                  </w:txbxContent>
                </v:textbox>
                <w10:wrap type="square" anchorx="margin"/>
              </v:shape>
            </w:pict>
          </mc:Fallback>
        </mc:AlternateContent>
      </w:r>
      <w:r w:rsidR="00773B8A" w:rsidRPr="00797EA7">
        <w:rPr>
          <w:rFonts w:eastAsiaTheme="minorEastAsia" w:cstheme="minorHAnsi"/>
          <w:color w:val="000000" w:themeColor="text1"/>
          <w:lang w:val="cs-CZ" w:eastAsia="pl-PL"/>
        </w:rPr>
        <w:br w:type="column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cs-CZ" w:eastAsia="en-US"/>
        </w:rPr>
        <w:id w:val="1065377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4D89" w:rsidRPr="00797EA7" w:rsidRDefault="00A46B5A">
          <w:pPr>
            <w:pStyle w:val="Nadpisobsahu"/>
            <w:rPr>
              <w:rFonts w:asciiTheme="minorHAnsi" w:hAnsiTheme="minorHAnsi" w:cstheme="minorHAnsi"/>
              <w:b/>
              <w:bCs/>
              <w:color w:val="538135" w:themeColor="accent6" w:themeShade="BF"/>
              <w:lang w:val="cs-CZ"/>
            </w:rPr>
          </w:pPr>
          <w:r w:rsidRPr="00797EA7">
            <w:rPr>
              <w:rFonts w:asciiTheme="minorHAnsi" w:hAnsiTheme="minorHAnsi" w:cstheme="minorHAnsi"/>
              <w:b/>
              <w:bCs/>
              <w:color w:val="538135" w:themeColor="accent6" w:themeShade="BF"/>
              <w:lang w:val="cs-CZ"/>
            </w:rPr>
            <w:t>Obsah</w:t>
          </w:r>
        </w:p>
        <w:p w:rsidR="00773B8A" w:rsidRPr="00797EA7" w:rsidRDefault="00773B8A" w:rsidP="00773B8A">
          <w:pPr>
            <w:rPr>
              <w:lang w:val="cs-CZ" w:eastAsia="pl-PL"/>
            </w:rPr>
          </w:pPr>
        </w:p>
        <w:p w:rsidR="000C3902" w:rsidRPr="00797EA7" w:rsidRDefault="00773B8A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r w:rsidRPr="00797EA7">
            <w:rPr>
              <w:noProof w:val="0"/>
              <w:lang w:val="cs-CZ"/>
            </w:rPr>
            <w:fldChar w:fldCharType="begin"/>
          </w:r>
          <w:r w:rsidR="00A46B5A" w:rsidRPr="00797EA7">
            <w:rPr>
              <w:noProof w:val="0"/>
              <w:lang w:val="cs-CZ"/>
            </w:rPr>
            <w:instrText xml:space="preserve"> TOC \o "1-3" \h \z \u </w:instrText>
          </w:r>
          <w:r w:rsidRPr="00797EA7">
            <w:rPr>
              <w:noProof w:val="0"/>
              <w:lang w:val="cs-CZ"/>
            </w:rPr>
            <w:fldChar w:fldCharType="separate"/>
          </w:r>
          <w:hyperlink w:anchor="_Toc117681705" w:history="1">
            <w:r w:rsidR="000C3902" w:rsidRPr="00797EA7">
              <w:rPr>
                <w:rStyle w:val="Hypertextovodkaz"/>
                <w:lang w:val="cs-CZ"/>
              </w:rPr>
              <w:t>Úvod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_Toc117681705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4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hyperlink w:anchor="_Toc117681706" w:history="1">
            <w:r w:rsidR="000C3902" w:rsidRPr="00797EA7">
              <w:rPr>
                <w:rStyle w:val="Hypertextovodkaz"/>
                <w:rFonts w:ascii="Calibri" w:hAnsi="Calibri" w:cs="Calibri"/>
                <w:lang w:val="cs-CZ"/>
              </w:rPr>
              <w:t>Kapitola 1. Úloha subjektů sociální ekonomiky v ekologickém přechodu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_Toc117681706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5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>
          <w:pPr>
            <w:pStyle w:val="Obsah1"/>
            <w:rPr>
              <w:rStyle w:val="Hypertextovodkaz"/>
              <w:lang w:val="cs-CZ"/>
            </w:rPr>
          </w:pPr>
          <w:hyperlink w:anchor="_Toc117681707" w:history="1">
            <w:r w:rsidR="000C3902" w:rsidRPr="00797EA7">
              <w:rPr>
                <w:rStyle w:val="Hypertextovodkaz"/>
                <w:rFonts w:ascii="Calibri" w:hAnsi="Calibri" w:cs="Calibri"/>
                <w:lang w:val="cs-CZ"/>
              </w:rPr>
              <w:t>Kapitola 2. Zelené dovednosti jako prvek zelené transformace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_Toc117681707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9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 w:rsidP="000C3902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hyperlink w:anchor="_Toc117681708" w:history="1">
            <w:r w:rsidR="000C3902" w:rsidRPr="00797EA7">
              <w:rPr>
                <w:rStyle w:val="Hypertextovodkaz"/>
                <w:rFonts w:ascii="Calibri" w:hAnsi="Calibri" w:cs="Calibri"/>
                <w:lang w:val="cs-CZ"/>
              </w:rPr>
              <w:t>Kapitola 3. Úloha vzdělávání v rozvoji ekologických dovedností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_Toc117681708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17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hyperlink w:anchor="_Toc117681708" w:history="1">
            <w:r w:rsidR="000C3902" w:rsidRPr="00797EA7">
              <w:rPr>
                <w:rStyle w:val="Hypertextovodkaz"/>
                <w:rFonts w:ascii="Calibri" w:hAnsi="Calibri" w:cs="Calibri"/>
                <w:lang w:val="cs-CZ"/>
              </w:rPr>
              <w:t>Kapitola 4. Rámce konceptu SDG Labs - vytváření laboratorního prostoru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_Toc117681708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19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hyperlink w:anchor="_Toc117681709" w:history="1">
            <w:r w:rsidR="000C3902" w:rsidRPr="00797EA7">
              <w:rPr>
                <w:rStyle w:val="Hypertextovodkaz"/>
                <w:rFonts w:ascii="Calibri" w:hAnsi="Calibri" w:cs="Calibri"/>
                <w:lang w:val="cs-CZ"/>
              </w:rPr>
              <w:t>Kapitola 5. Analýza výsledků výzkumu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_Toc117681709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23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hyperlink w:anchor="_Toc117681710" w:history="1">
            <w:r w:rsidR="000C3902" w:rsidRPr="00797EA7">
              <w:rPr>
                <w:rStyle w:val="Hypertextovodkaz"/>
                <w:rFonts w:ascii="Calibri" w:hAnsi="Calibri" w:cs="Calibri"/>
                <w:lang w:val="cs-CZ"/>
              </w:rPr>
              <w:t>Kapitola 6. Teoretický model programu laboratoří SDG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_Toc117681710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40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hyperlink w:anchor="_Toc117681711" w:history="1">
            <w:r w:rsidR="000C3902" w:rsidRPr="00797EA7">
              <w:rPr>
                <w:rStyle w:val="Hypertextovodkaz"/>
                <w:lang w:val="cs-CZ"/>
              </w:rPr>
              <w:t>Závěry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_Toc117681711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43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0C3902" w:rsidRPr="00797EA7" w:rsidRDefault="00797EA7">
          <w:pPr>
            <w:pStyle w:val="Obsah1"/>
            <w:rPr>
              <w:rFonts w:eastAsiaTheme="minorEastAsia" w:cstheme="minorBidi"/>
              <w:b w:val="0"/>
              <w:bCs w:val="0"/>
              <w:sz w:val="22"/>
              <w:szCs w:val="22"/>
              <w:lang w:val="cs-CZ" w:eastAsia="cs-CZ"/>
            </w:rPr>
          </w:pPr>
          <w:hyperlink w:anchor="_Toc117681712" w:history="1">
            <w:r w:rsidR="000C3902" w:rsidRPr="00797EA7">
              <w:rPr>
                <w:rStyle w:val="Hypertextovodkaz"/>
                <w:lang w:val="cs-CZ"/>
              </w:rPr>
              <w:t>Bibliografie</w:t>
            </w:r>
            <w:r w:rsidR="000C3902" w:rsidRPr="00797EA7">
              <w:rPr>
                <w:webHidden/>
                <w:lang w:val="cs-CZ"/>
              </w:rPr>
              <w:tab/>
            </w:r>
            <w:r w:rsidR="000C3902" w:rsidRPr="00797EA7">
              <w:rPr>
                <w:webHidden/>
                <w:lang w:val="cs-CZ"/>
              </w:rPr>
              <w:fldChar w:fldCharType="begin"/>
            </w:r>
            <w:r w:rsidR="000C3902" w:rsidRPr="00797EA7">
              <w:rPr>
                <w:webHidden/>
                <w:lang w:val="cs-CZ"/>
              </w:rPr>
              <w:instrText xml:space="preserve"> PAGEREF _Toc117681712 \h </w:instrText>
            </w:r>
            <w:r w:rsidR="000C3902" w:rsidRPr="00797EA7">
              <w:rPr>
                <w:webHidden/>
                <w:lang w:val="cs-CZ"/>
              </w:rPr>
            </w:r>
            <w:r w:rsidR="000C3902" w:rsidRPr="00797EA7">
              <w:rPr>
                <w:webHidden/>
                <w:lang w:val="cs-CZ"/>
              </w:rPr>
              <w:fldChar w:fldCharType="separate"/>
            </w:r>
            <w:r w:rsidR="000C3902" w:rsidRPr="00797EA7">
              <w:rPr>
                <w:webHidden/>
                <w:lang w:val="cs-CZ"/>
              </w:rPr>
              <w:t>45</w:t>
            </w:r>
            <w:r w:rsidR="000C3902" w:rsidRPr="00797EA7">
              <w:rPr>
                <w:webHidden/>
                <w:lang w:val="cs-CZ"/>
              </w:rPr>
              <w:fldChar w:fldCharType="end"/>
            </w:r>
          </w:hyperlink>
        </w:p>
        <w:p w:rsidR="00773B8A" w:rsidRPr="00797EA7" w:rsidRDefault="00773B8A">
          <w:pPr>
            <w:rPr>
              <w:lang w:val="cs-CZ"/>
            </w:rPr>
          </w:pPr>
          <w:r w:rsidRPr="00797EA7">
            <w:rPr>
              <w:b/>
              <w:bCs/>
              <w:lang w:val="cs-CZ"/>
            </w:rPr>
            <w:fldChar w:fldCharType="end"/>
          </w:r>
        </w:p>
      </w:sdtContent>
    </w:sdt>
    <w:p w:rsidR="005969FC" w:rsidRPr="00797EA7" w:rsidRDefault="005969FC" w:rsidP="005969FC">
      <w:pPr>
        <w:spacing w:after="120"/>
        <w:jc w:val="both"/>
        <w:rPr>
          <w:rFonts w:cstheme="minorHAnsi"/>
          <w:lang w:val="cs-CZ"/>
        </w:rPr>
      </w:pPr>
    </w:p>
    <w:p w:rsidR="00B04D89" w:rsidRPr="00797EA7" w:rsidRDefault="00A46B5A">
      <w:pPr>
        <w:pStyle w:val="Nadpis1"/>
        <w:rPr>
          <w:rStyle w:val="spellingerror"/>
          <w:b/>
          <w:bCs/>
          <w:lang w:val="cs-CZ"/>
        </w:rPr>
      </w:pPr>
      <w:r w:rsidRPr="00797EA7">
        <w:rPr>
          <w:rFonts w:eastAsia="Calibri" w:cstheme="minorHAnsi"/>
          <w:color w:val="000000" w:themeColor="text1"/>
          <w:lang w:val="cs-CZ"/>
        </w:rPr>
        <w:br w:type="column"/>
      </w:r>
      <w:bookmarkStart w:id="1" w:name="_Toc117681705"/>
      <w:r w:rsidRPr="00797EA7">
        <w:rPr>
          <w:rStyle w:val="spellingerror"/>
          <w:b/>
          <w:bCs/>
          <w:color w:val="538135" w:themeColor="accent6" w:themeShade="BF"/>
          <w:lang w:val="cs-CZ"/>
        </w:rPr>
        <w:lastRenderedPageBreak/>
        <w:t>Úvod</w:t>
      </w:r>
      <w:bookmarkEnd w:id="1"/>
      <w:r w:rsidRPr="00797EA7">
        <w:rPr>
          <w:rStyle w:val="spellingerror"/>
          <w:b/>
          <w:bCs/>
          <w:color w:val="538135" w:themeColor="accent6" w:themeShade="BF"/>
          <w:lang w:val="cs-CZ"/>
        </w:rPr>
        <w:t xml:space="preserve"> </w:t>
      </w:r>
    </w:p>
    <w:p w:rsidR="005969FC" w:rsidRPr="00797EA7" w:rsidRDefault="005969FC" w:rsidP="005969FC">
      <w:pPr>
        <w:spacing w:after="120"/>
        <w:jc w:val="both"/>
        <w:rPr>
          <w:rFonts w:eastAsiaTheme="minorEastAsia" w:cstheme="minorHAnsi"/>
          <w:lang w:val="cs-CZ"/>
        </w:rPr>
      </w:pPr>
    </w:p>
    <w:p w:rsidR="00B04D89" w:rsidRPr="00797EA7" w:rsidRDefault="00A46B5A">
      <w:pPr>
        <w:spacing w:after="120"/>
        <w:jc w:val="both"/>
        <w:rPr>
          <w:rFonts w:eastAsiaTheme="minorEastAsia" w:cstheme="minorHAnsi"/>
          <w:b/>
          <w:bCs/>
          <w:lang w:val="cs-CZ"/>
        </w:rPr>
      </w:pPr>
      <w:bookmarkStart w:id="2" w:name="_Hlk117682676"/>
      <w:r w:rsidRPr="00797EA7">
        <w:rPr>
          <w:rFonts w:eastAsiaTheme="minorEastAsia" w:cstheme="minorHAnsi"/>
          <w:lang w:val="cs-CZ"/>
        </w:rPr>
        <w:t xml:space="preserve">Změna klimatu vyvolala </w:t>
      </w:r>
      <w:r w:rsidR="00797EA7">
        <w:rPr>
          <w:rFonts w:eastAsiaTheme="minorEastAsia" w:cstheme="minorHAnsi"/>
          <w:lang w:val="cs-CZ"/>
        </w:rPr>
        <w:t>enormní</w:t>
      </w:r>
      <w:r w:rsidRPr="00797EA7">
        <w:rPr>
          <w:rFonts w:eastAsiaTheme="minorEastAsia" w:cstheme="minorHAnsi"/>
          <w:lang w:val="cs-CZ"/>
        </w:rPr>
        <w:t xml:space="preserve"> tlak na změnu paradigmatu, který se více zaměřuje na komplexní důsledky environmentálních a sociálních krizí. Inkluzivně-ekologicky-přechodná role sektoru sociální ekonomiky (sociální podniky, družstva, vzájemné společnosti, nezisková sdružení) se soustřeďuje do tzv. zelených subjektů sociální ekonomiky (SEE). Zaváděním a vývojem inovativních řešení působí subjekty zelené sociální ekonomiky v takových oblastech hospodářství, jako je oběhové hospodářství, obnovitelné zdroje energie, udržitelné zemědělství, sociální bydlení. Jejich přítomnost se projevuje i na úrovni mezisektorové spolupráce (s podniky, občany). Na tomto pozadí vyvstává úloha vzdělávání, která je nesmírně důležitá pro plné využití potenciálu zemí JV Evropy směrem k zelenému přechodu. Vysokoškolské instituce mají zvláštní úlohu při budování zelených znalostí, dovedností a kompetencí studentů, aby se zvýšila úloha SE v zeleném sektoru.</w:t>
      </w:r>
      <w:r w:rsidRPr="00797EA7">
        <w:rPr>
          <w:rFonts w:eastAsiaTheme="minorEastAsia" w:cstheme="minorHAnsi"/>
          <w:b/>
          <w:bCs/>
          <w:lang w:val="cs-CZ"/>
        </w:rPr>
        <w:t xml:space="preserve"> Vysokoškolské instituce mají nedostatky, pokud jde o přizpůsobení studijních plánů a osnov požadavkům environmentální udržitelnosti na jedné straně a rostoucí poptávku po zelených dovednostech (jako průřezových kompetencích) v SEE na straně druhé. </w:t>
      </w:r>
    </w:p>
    <w:p w:rsidR="00B04D89" w:rsidRPr="00797EA7" w:rsidRDefault="00A46B5A">
      <w:pPr>
        <w:spacing w:after="12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lang w:val="cs-CZ"/>
        </w:rPr>
        <w:t>Předpokládá se, že ústředním tématem změny paradigmatu je přizpůsobení se ekologickému přechodu, k němuž dochází v zemích JV Evropy, a klíčovou hnací silou jsou inovace ve vzdělávání (školicí programy, metodiky seminářů, jako je učení založené na simulaci).</w:t>
      </w:r>
    </w:p>
    <w:bookmarkEnd w:id="2"/>
    <w:p w:rsidR="005969FC" w:rsidRPr="00797EA7" w:rsidRDefault="005969FC" w:rsidP="005969FC">
      <w:pPr>
        <w:spacing w:after="120"/>
        <w:jc w:val="both"/>
        <w:rPr>
          <w:rFonts w:cstheme="minorHAnsi"/>
          <w:lang w:val="cs-CZ"/>
        </w:rPr>
      </w:pPr>
    </w:p>
    <w:p w:rsidR="00B04D89" w:rsidRPr="00797EA7" w:rsidRDefault="00A46B5A">
      <w:pPr>
        <w:pStyle w:val="Nadpis1"/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Style w:val="spellingerror"/>
          <w:rFonts w:ascii="Calibri" w:hAnsi="Calibri" w:cs="Calibri"/>
          <w:color w:val="538135" w:themeColor="accent6" w:themeShade="BF"/>
          <w:lang w:val="cs-CZ"/>
        </w:rPr>
        <w:br w:type="column"/>
      </w:r>
      <w:bookmarkStart w:id="3" w:name="_Toc117681706"/>
      <w:r w:rsidR="005D7DEB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lastRenderedPageBreak/>
        <w:t xml:space="preserve">Kapitola 1. </w:t>
      </w:r>
      <w:r w:rsidR="00877B5C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 xml:space="preserve">Úloha subjektů sociální ekonomiky v </w:t>
      </w:r>
      <w:r w:rsidR="00C97F43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ekologickém přechodu</w:t>
      </w:r>
      <w:bookmarkEnd w:id="3"/>
    </w:p>
    <w:p w:rsidR="005D7DEB" w:rsidRPr="00797EA7" w:rsidRDefault="005D7DEB" w:rsidP="007E4A8E">
      <w:pPr>
        <w:spacing w:before="120" w:after="120"/>
        <w:rPr>
          <w:lang w:val="cs-CZ"/>
        </w:rPr>
      </w:pPr>
    </w:p>
    <w:p w:rsidR="00B04D89" w:rsidRPr="00797EA7" w:rsidRDefault="00A46B5A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797EA7">
        <w:rPr>
          <w:rFonts w:asciiTheme="minorHAnsi" w:hAnsiTheme="minorHAnsi" w:cstheme="minorHAnsi"/>
          <w:color w:val="000000" w:themeColor="text1"/>
          <w:lang w:val="cs-CZ"/>
        </w:rPr>
        <w:t>Sociální podniky mohou díky poskytování malých a levných řešení, která jsou přizpůsobena místním podmínkám, pomoci veřejnému sektoru být inovativní a nákladově efektivnější (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Huybrechts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Nicholls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, 2012)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Samostatnost, tvorba hodnot, rychlé vyhodnocení nenaplněných potřeb a aspirací společnosti s následnými inovacemi a adaptacemi, založení soběstačné organizace zaměřené na dosahování zisku prostřednictvím kolektivního úsilí svých týmů o vytvoření společenského prospěchu bylo reakcí na zpomalení a omezení veřejného sektoru při naplňování sociálních potřeb </w:t>
      </w:r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Light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2008; 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Sharir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Lerner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, 2006)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narušení distribuce příjmů </w:t>
      </w:r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Bornstein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2004)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>a stále častější využívání podnikatelských strategií k řešení sociálních problémů a zároveň generování příjmů. Vzestup sociálních podniků (SE) spojený s konceptem "</w:t>
      </w:r>
      <w:r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sociální ekonomiky"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představuje adaptační krok občanské společnosti, který reaguje na složité a dynamické prostředí. Sociální podniky jsou nejrychleji rostoucí kategorií organizací </w:t>
      </w:r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Jain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2019) jako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důsledek nasazení sociálních problémů manažerskými postupy. Sociální podnikání získalo praktický význam v 70. a 80. letech 20. století a v 90. letech 20. století přilákalo vlády a akademickou obec </w:t>
      </w:r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Nyssens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, 2006)</w:t>
      </w:r>
      <w:r w:rsidRPr="00797EA7">
        <w:rPr>
          <w:rStyle w:val="Znakapoznpodarou"/>
          <w:rFonts w:asciiTheme="minorHAnsi" w:hAnsiTheme="minorHAnsi" w:cstheme="minorHAnsi"/>
          <w:color w:val="000000" w:themeColor="text1"/>
          <w:lang w:val="cs-CZ"/>
        </w:rPr>
        <w:footnoteReference w:id="1"/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. Úspěchy sociálních podnikatelů, jako je Muhammad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Yunus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(zakladatel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Grameen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Bank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for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Microfinance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nositel Nobelovy ceny míru za rok 2006),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Jeffrey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Skoll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(zakladatel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Skollovy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nadace, jeden ze 100 lidí roku 2006 podle časopisu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Time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), přitahovaly obrovskou pozornost médií. Nový typ podnikání, který se objevil v různých částech světa, potvrdil tlak na cíl vytvářet spíše sociální než ekonomické bohatství </w:t>
      </w:r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Dees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1998; 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Drayton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2002; 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Leadbeater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, 1997)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Objevují se také tvrzení některých výzkumníků, kteří očekávají další dosahující ekonomické efekty jako důsledek činnosti sociálního podnikání a přispívají k většímu růstu, menší chudobě a lepšímu sociálnímu rozvoji ve velkém měřítku </w:t>
      </w:r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Yunus</w:t>
      </w:r>
      <w:proofErr w:type="spellEnd"/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2008; </w:t>
      </w:r>
      <w:proofErr w:type="spellStart"/>
      <w:r w:rsidR="002C125E" w:rsidRPr="00797EA7">
        <w:rPr>
          <w:rFonts w:asciiTheme="minorHAnsi" w:hAnsiTheme="minorHAnsi" w:cstheme="minorHAnsi"/>
          <w:color w:val="000000" w:themeColor="text1"/>
          <w:lang w:val="cs-CZ"/>
        </w:rPr>
        <w:t>Zahra</w:t>
      </w:r>
      <w:proofErr w:type="spellEnd"/>
      <w:r w:rsidR="002C125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gramStart"/>
      <w:r w:rsidR="002C125E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et al. </w:t>
      </w:r>
      <w:r w:rsidR="002C125E" w:rsidRPr="00797EA7">
        <w:rPr>
          <w:rFonts w:asciiTheme="minorHAnsi" w:hAnsiTheme="minorHAnsi" w:cstheme="minorHAnsi"/>
          <w:color w:val="000000" w:themeColor="text1"/>
          <w:lang w:val="cs-CZ"/>
        </w:rPr>
        <w:t>,</w:t>
      </w:r>
      <w:proofErr w:type="gramEnd"/>
      <w:r w:rsidR="002C125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2009</w:t>
      </w:r>
      <w:r w:rsidR="00AE1A77" w:rsidRPr="00797EA7">
        <w:rPr>
          <w:rFonts w:asciiTheme="minorHAnsi" w:hAnsiTheme="minorHAnsi" w:cstheme="minorHAnsi"/>
          <w:color w:val="000000" w:themeColor="text1"/>
          <w:lang w:val="cs-CZ"/>
        </w:rPr>
        <w:t>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Proto byla myšlenka/koncepce sociálního podniku zásadní také v rámci podnikových strategií, které jsou obecně známé jako společenská odpovědnost firem, sociální inovace podniků nebo účetní rámec s názvem Triple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Bottom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Line</w:t>
      </w:r>
      <w:r w:rsidRPr="00797EA7">
        <w:rPr>
          <w:rStyle w:val="Znakapoznpodarou"/>
          <w:rFonts w:asciiTheme="minorHAnsi" w:hAnsiTheme="minorHAnsi" w:cstheme="minorHAnsi"/>
          <w:color w:val="000000" w:themeColor="text1"/>
          <w:lang w:val="cs-CZ"/>
        </w:rPr>
        <w:footnoteReference w:id="2"/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. Proces zkoumání metodou pokus-omyl s očekáváním pokroku v ekonomickém, sociálním a environmentálním pokroku společnosti a zvyšování hodnoty společného dobra prostřednictvím objevování, vývoje, výběru, selhání a destrukce a nových způsobů vytváření hodnoty je to, co představuje sociální podnikání </w:t>
      </w:r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(Valter </w:t>
      </w:r>
      <w:proofErr w:type="gramStart"/>
      <w:r w:rsidR="004605EE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et al. </w:t>
      </w:r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,</w:t>
      </w:r>
      <w:proofErr w:type="gram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2017;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Dart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2004;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Peredo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McLean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, 2006)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První zkušenosti s fungováním sociálních podniků v EU-15 byly v Evropě zkoumány od 90. let 20. století, od roku 2000 pak byly doplněny rozvojem výzkumu v oblasti sociálních inovací. Akademická šetření začala systematičtěji vrhat nové světlo na transformační sílu institucionálního nastavení subjektů sociální ekonomiky (SEE). Probíhající výzkum přispěl ke zvýšení povědomí občanů o použitelnosti a významu těchto přístupů pro sociální blahobyt. Důležitým pilířem, na němž stojí činnost sociálních podniků, je organizační a institucionální infrastruktura. Transformace realizace sociálních cílů je projevem vývoje, v němž se potřeba dosažení sociálního cíle spojuje současně s hledáním nových forem ekonomické organizace. Rozvoj organizací sektoru sociální ekonomiky předpokládá diverzifikaci zdrojů příjmů, která je motorem hledání nových institucionálních forem a modelů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lastRenderedPageBreak/>
        <w:t xml:space="preserve">podnikatelské činnosti. Subjekty sociální ekonomiky jsou nevládní organizace, kluby venkovských hospodyň, pracovní družstva a subjekty solidární ekonomiky chápané jako sociální podniky, tj. subjekty sociální ekonomiky, které vykonávají hospodářskou nebo úplatnou veřejně prospěšnou činnost, profesionálně aktivizují obtížně zaměstnatelné osoby, neprivatizují zisk ani bilanční přebytek a jsou řízeny participativním způsobem, ale také sociální družstva a družstva zdravotně postižených a nevidomých, chráněné dílny, reintegrační jednotky </w:t>
      </w:r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(Departament Ekonomii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Społecznej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i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Solidarnej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, 2019)</w:t>
      </w:r>
      <w:r w:rsidRPr="00797EA7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,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>a to i v oblasti zvyšování informovanosti a vzdělávání. Sociální podnik jako neziskový nebo ziskový podnik má "specifickou schopnost socioekonomického začlenění a sociálního rozvoje</w:t>
      </w:r>
      <w:r w:rsidR="00A51D63" w:rsidRPr="00797EA7">
        <w:rPr>
          <w:rFonts w:asciiTheme="minorHAnsi" w:hAnsiTheme="minorHAnsi" w:cstheme="minorHAnsi"/>
          <w:color w:val="000000" w:themeColor="text1"/>
          <w:lang w:val="cs-CZ"/>
        </w:rPr>
        <w:t xml:space="preserve">" </w:t>
      </w:r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Thomsen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gramStart"/>
      <w:r w:rsidR="004605EE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et al. </w:t>
      </w:r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,</w:t>
      </w:r>
      <w:proofErr w:type="gram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2021)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; identifikován je většinou v rámci neziskového sektoru </w:t>
      </w:r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(Davis, 1997;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Fowler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2000,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Taylor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4605EE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et al. </w:t>
      </w:r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2000; Anderson &amp;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Dees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2002; </w:t>
      </w:r>
      <w:proofErr w:type="spellStart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Pomerantz</w:t>
      </w:r>
      <w:proofErr w:type="spellEnd"/>
      <w:r w:rsidR="004605EE" w:rsidRPr="00797EA7">
        <w:rPr>
          <w:rFonts w:asciiTheme="minorHAnsi" w:hAnsiTheme="minorHAnsi" w:cstheme="minorHAnsi"/>
          <w:color w:val="000000" w:themeColor="text1"/>
          <w:lang w:val="cs-CZ"/>
        </w:rPr>
        <w:t>, 2005)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; jako "organizace sledující sociální poslání prostřednictvím své ekonomické činnosti" </w:t>
      </w:r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>Huybrechts</w:t>
      </w:r>
      <w:proofErr w:type="spellEnd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>Nicholls</w:t>
      </w:r>
      <w:proofErr w:type="spellEnd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2013; </w:t>
      </w:r>
      <w:proofErr w:type="spellStart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>Borzaga</w:t>
      </w:r>
      <w:proofErr w:type="spellEnd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>Defourny</w:t>
      </w:r>
      <w:proofErr w:type="spellEnd"/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>, 2001</w:t>
      </w:r>
      <w:r w:rsidR="00DD75F0" w:rsidRPr="00797EA7">
        <w:rPr>
          <w:rFonts w:asciiTheme="minorHAnsi" w:hAnsiTheme="minorHAnsi" w:cstheme="minorHAnsi"/>
          <w:color w:val="000000" w:themeColor="text1"/>
          <w:lang w:val="cs-CZ"/>
        </w:rPr>
        <w:t xml:space="preserve">; </w:t>
      </w:r>
      <w:proofErr w:type="spellStart"/>
      <w:r w:rsidR="00DD75F0" w:rsidRPr="00797EA7">
        <w:rPr>
          <w:rFonts w:asciiTheme="minorHAnsi" w:hAnsiTheme="minorHAnsi" w:cstheme="minorHAnsi"/>
          <w:color w:val="000000" w:themeColor="text1"/>
          <w:lang w:val="cs-CZ"/>
        </w:rPr>
        <w:t>Defourny</w:t>
      </w:r>
      <w:proofErr w:type="spellEnd"/>
      <w:r w:rsidR="00DD75F0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DD75F0" w:rsidRPr="00797EA7">
        <w:rPr>
          <w:rFonts w:asciiTheme="minorHAnsi" w:hAnsiTheme="minorHAnsi" w:cstheme="minorHAnsi"/>
          <w:color w:val="000000" w:themeColor="text1"/>
          <w:lang w:val="cs-CZ"/>
        </w:rPr>
        <w:t>Nyssens</w:t>
      </w:r>
      <w:proofErr w:type="spellEnd"/>
      <w:r w:rsidR="00DD75F0" w:rsidRPr="00797EA7">
        <w:rPr>
          <w:rFonts w:asciiTheme="minorHAnsi" w:hAnsiTheme="minorHAnsi" w:cstheme="minorHAnsi"/>
          <w:color w:val="000000" w:themeColor="text1"/>
          <w:lang w:val="cs-CZ"/>
        </w:rPr>
        <w:t>, 2006</w:t>
      </w:r>
      <w:r w:rsidR="00630146" w:rsidRPr="00797EA7">
        <w:rPr>
          <w:rFonts w:asciiTheme="minorHAnsi" w:hAnsiTheme="minorHAnsi" w:cstheme="minorHAnsi"/>
          <w:color w:val="000000" w:themeColor="text1"/>
          <w:lang w:val="cs-CZ"/>
        </w:rPr>
        <w:t>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Sociální podniky (SE) jsou vnímány jako hybridní organizace, které sledují tzv. triple </w:t>
      </w:r>
      <w:proofErr w:type="spellStart"/>
      <w:r w:rsidRPr="00797EA7">
        <w:rPr>
          <w:rFonts w:asciiTheme="minorHAnsi" w:hAnsiTheme="minorHAnsi" w:cstheme="minorHAnsi"/>
          <w:color w:val="000000" w:themeColor="text1"/>
          <w:lang w:val="cs-CZ"/>
        </w:rPr>
        <w:t>bottom</w:t>
      </w:r>
      <w:proofErr w:type="spellEnd"/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 lines a vytvářejí společné dobro tím, že vytvářejí zisk a přidávají sociální hodnotu (příkladem je vytváření dalších pracovních míst zejména pro osoby s malými příležitostmi) a zároveň chrání přírodní prostředí </w:t>
      </w:r>
      <w:r w:rsidR="004215E1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4215E1" w:rsidRPr="00797EA7">
        <w:rPr>
          <w:rFonts w:asciiTheme="minorHAnsi" w:hAnsiTheme="minorHAnsi" w:cstheme="minorHAnsi"/>
          <w:color w:val="000000" w:themeColor="text1"/>
          <w:lang w:val="cs-CZ"/>
        </w:rPr>
        <w:t>Benevene</w:t>
      </w:r>
      <w:proofErr w:type="spellEnd"/>
      <w:r w:rsidR="004215E1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gramStart"/>
      <w:r w:rsidR="004215E1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>et al. ,</w:t>
      </w:r>
      <w:proofErr w:type="gramEnd"/>
      <w:r w:rsidR="004215E1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r w:rsidR="004215E1" w:rsidRPr="00797EA7">
        <w:rPr>
          <w:rFonts w:asciiTheme="minorHAnsi" w:hAnsiTheme="minorHAnsi" w:cstheme="minorHAnsi"/>
          <w:color w:val="000000" w:themeColor="text1"/>
          <w:lang w:val="cs-CZ"/>
        </w:rPr>
        <w:t>2017)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Vznik sociálních podniků byl strategickou reakcí na křehkost vládních a filantropických snah naplnit očekávání společnosti při poskytování správných řešení </w:t>
      </w:r>
      <w:r w:rsidR="00A540DB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r w:rsidR="00DE248A" w:rsidRPr="00797EA7">
        <w:rPr>
          <w:rFonts w:asciiTheme="minorHAnsi" w:hAnsiTheme="minorHAnsi" w:cstheme="minorHAnsi"/>
          <w:color w:val="000000" w:themeColor="text1"/>
          <w:lang w:val="cs-CZ"/>
        </w:rPr>
        <w:t>Kong, 2010</w:t>
      </w:r>
      <w:r w:rsidR="00A540DB" w:rsidRPr="00797EA7">
        <w:rPr>
          <w:rFonts w:asciiTheme="minorHAnsi" w:hAnsiTheme="minorHAnsi" w:cstheme="minorHAnsi"/>
          <w:color w:val="000000" w:themeColor="text1"/>
          <w:lang w:val="cs-CZ"/>
        </w:rPr>
        <w:t>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Tento druh hybridních organizací podporuje vytváření sociálního kapitálu s cílem podpořit pokročilejší sociální interakce a procesy učení ve společnostech s různými strukturami </w:t>
      </w:r>
      <w:r w:rsidR="00DE248A" w:rsidRPr="00797EA7">
        <w:rPr>
          <w:rFonts w:asciiTheme="minorHAnsi" w:hAnsiTheme="minorHAnsi" w:cstheme="minorHAnsi"/>
          <w:color w:val="000000" w:themeColor="text1"/>
          <w:lang w:val="cs-CZ"/>
        </w:rPr>
        <w:t>(Hasan, 2005)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Sociální podniky proto budou pravděpodobně aktivní v rozvoji "efektivních znalostí a učení se pro (...) podporu odolné budoucnosti pro ně a jejich budoucí generace" </w:t>
      </w:r>
      <w:r w:rsidR="00DE248A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r w:rsidR="00AD6B99" w:rsidRPr="00797EA7">
        <w:rPr>
          <w:rFonts w:asciiTheme="minorHAnsi" w:hAnsiTheme="minorHAnsi" w:cstheme="minorHAnsi"/>
          <w:color w:val="000000" w:themeColor="text1"/>
          <w:lang w:val="cs-CZ"/>
        </w:rPr>
        <w:t>Kong, 2019</w:t>
      </w:r>
      <w:r w:rsidR="00DE248A" w:rsidRPr="00797EA7">
        <w:rPr>
          <w:rFonts w:asciiTheme="minorHAnsi" w:hAnsiTheme="minorHAnsi" w:cstheme="minorHAnsi"/>
          <w:color w:val="000000" w:themeColor="text1"/>
          <w:lang w:val="cs-CZ"/>
        </w:rPr>
        <w:t>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Procesy investování a reinvestování přebytků za účelem sociálního, environmentálního a komunitního prospěchu </w:t>
      </w:r>
      <w:r w:rsidR="00AD6B99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AD6B99" w:rsidRPr="00797EA7">
        <w:rPr>
          <w:rFonts w:asciiTheme="minorHAnsi" w:hAnsiTheme="minorHAnsi" w:cstheme="minorHAnsi"/>
          <w:color w:val="000000" w:themeColor="text1"/>
          <w:lang w:val="cs-CZ"/>
        </w:rPr>
        <w:t>Munoz</w:t>
      </w:r>
      <w:proofErr w:type="spellEnd"/>
      <w:r w:rsidR="00AD6B99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gramStart"/>
      <w:r w:rsidR="00AD6B99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et al. </w:t>
      </w:r>
      <w:r w:rsidR="00AD6B99" w:rsidRPr="00797EA7">
        <w:rPr>
          <w:rFonts w:asciiTheme="minorHAnsi" w:hAnsiTheme="minorHAnsi" w:cstheme="minorHAnsi"/>
          <w:color w:val="000000" w:themeColor="text1"/>
          <w:lang w:val="cs-CZ"/>
        </w:rPr>
        <w:t>,</w:t>
      </w:r>
      <w:proofErr w:type="gramEnd"/>
      <w:r w:rsidR="00AD6B99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2015)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jsou jádrem sociálního podnikání. Tento hybridní typ organizace ve svých sociálních, ekonomických a environmentálních aspektech dopadu v místních komunitách </w:t>
      </w:r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Nicholls</w:t>
      </w:r>
      <w:proofErr w:type="spellEnd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2010; </w:t>
      </w:r>
      <w:proofErr w:type="spellStart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Weerawardena</w:t>
      </w:r>
      <w:proofErr w:type="spellEnd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Sullivan-Mort</w:t>
      </w:r>
      <w:proofErr w:type="spellEnd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2006; </w:t>
      </w:r>
      <w:proofErr w:type="spellStart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Peredo</w:t>
      </w:r>
      <w:proofErr w:type="spellEnd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&amp; </w:t>
      </w:r>
      <w:proofErr w:type="spellStart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McLean</w:t>
      </w:r>
      <w:proofErr w:type="spellEnd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2006; </w:t>
      </w:r>
      <w:proofErr w:type="spellStart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Ridley-Duff</w:t>
      </w:r>
      <w:proofErr w:type="spellEnd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2008; Bull, 2008)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nabízí řadu příspěvků k podpoře procesů místního ekonomického rozvoje tím, že "poskytuje zboží a služby, které trh nebo veřejný sektor není ochoten nebo schopen poskytnout, rozvíjí dovednosti, vytváří pracovní místa, vytváří a spravuje pracovní prostor a zvyšuje zapojení občanské veřejnosti" </w:t>
      </w:r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Smallbone</w:t>
      </w:r>
      <w:proofErr w:type="spellEnd"/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CC2128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et al. </w:t>
      </w:r>
      <w:r w:rsidR="00CC2128" w:rsidRPr="00797EA7">
        <w:rPr>
          <w:rFonts w:asciiTheme="minorHAnsi" w:hAnsiTheme="minorHAnsi" w:cstheme="minorHAnsi"/>
          <w:color w:val="000000" w:themeColor="text1"/>
          <w:lang w:val="cs-CZ"/>
        </w:rPr>
        <w:t>, 2001)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Vzhledem k tomu, že SE se primárně zaměřují na využití podnikání k řešení sociálních nebo environmentálních problémů </w:t>
      </w:r>
      <w:r w:rsidR="004C4590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4C4590" w:rsidRPr="00797EA7">
        <w:rPr>
          <w:rFonts w:asciiTheme="minorHAnsi" w:hAnsiTheme="minorHAnsi" w:cstheme="minorHAnsi"/>
          <w:color w:val="000000" w:themeColor="text1"/>
          <w:lang w:val="cs-CZ"/>
        </w:rPr>
        <w:t>Rhoden</w:t>
      </w:r>
      <w:proofErr w:type="spellEnd"/>
      <w:r w:rsidR="004C4590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2014),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>uplatňují tržní strategie k dosažení sociální změny (</w:t>
      </w:r>
      <w:proofErr w:type="spellStart"/>
      <w:r w:rsidR="004C4590" w:rsidRPr="00797EA7">
        <w:rPr>
          <w:rFonts w:asciiTheme="minorHAnsi" w:hAnsiTheme="minorHAnsi" w:cstheme="minorHAnsi"/>
          <w:color w:val="000000" w:themeColor="text1"/>
          <w:lang w:val="cs-CZ"/>
        </w:rPr>
        <w:t>Arantes</w:t>
      </w:r>
      <w:proofErr w:type="spellEnd"/>
      <w:r w:rsidR="004C4590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2020)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(sociální podnikání), včetně podnikatelských </w:t>
      </w:r>
      <w:r w:rsidR="004C4590" w:rsidRPr="00797EA7">
        <w:rPr>
          <w:rFonts w:asciiTheme="minorHAnsi" w:hAnsiTheme="minorHAnsi" w:cstheme="minorHAnsi"/>
          <w:color w:val="000000" w:themeColor="text1"/>
          <w:lang w:val="cs-CZ"/>
        </w:rPr>
        <w:t xml:space="preserve">snah o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zachování a ochranu udržitelnosti přírodního prostředí. </w:t>
      </w:r>
    </w:p>
    <w:p w:rsidR="00B04D89" w:rsidRPr="00797EA7" w:rsidRDefault="00A46B5A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797EA7">
        <w:rPr>
          <w:rFonts w:cstheme="minorHAnsi"/>
          <w:color w:val="000000" w:themeColor="text1"/>
          <w:lang w:val="cs-CZ"/>
        </w:rPr>
        <w:t xml:space="preserve">Velmi náročným a očekávaným odvětvím podnikání je </w:t>
      </w:r>
      <w:r w:rsidRPr="00797EA7">
        <w:rPr>
          <w:rFonts w:cstheme="minorHAnsi"/>
          <w:b/>
          <w:bCs/>
          <w:color w:val="000000" w:themeColor="text1"/>
          <w:lang w:val="cs-CZ"/>
        </w:rPr>
        <w:t xml:space="preserve">zelené podnikání, </w:t>
      </w:r>
      <w:r w:rsidRPr="00797EA7">
        <w:rPr>
          <w:rFonts w:cstheme="minorHAnsi"/>
          <w:color w:val="000000" w:themeColor="text1"/>
          <w:lang w:val="cs-CZ"/>
        </w:rPr>
        <w:t xml:space="preserve">v němž se podnikatelé snaží neutralizovat postupy poškozující životní prostředí a stimulovat činnosti šetrné k životnímu prostředí. Tyto postoje zahrnují odrazování společnosti od snadného životního stylu směrem k tvrdému (propagace jízdy na kole místo jízdy autem, menšího zisku a více výzev s cílem pomoci životnímu prostředí jako celku tím, že místo snadného vydělávání peněz zatěžujících přírodní prostředí se propagují nákladnější výrobky šetrné k životnímu prostředí).  </w:t>
      </w:r>
    </w:p>
    <w:p w:rsidR="00B04D89" w:rsidRPr="00797EA7" w:rsidRDefault="00A46B5A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797EA7">
        <w:rPr>
          <w:rFonts w:cstheme="minorHAnsi"/>
          <w:color w:val="000000" w:themeColor="text1"/>
          <w:lang w:val="cs-CZ"/>
        </w:rPr>
        <w:t xml:space="preserve">Modelování zeleného podnikání zahrnuje identifikaci cílů a budování hnutí směřujícího k vytvoření lepšího životního prostředí, prosazování zelených produktů a postupů (v rozporu se stávajícími postupy/životním stylem a zbožím), uvědomění si odpovědnosti lidí, uvedení na trhy a vytvoření nových trhů s ekologicky šetrnými produkty a službami (vytváření zelené hodnoty), zacílení ekologicky šetrného zboží na zákazníky schopné zaplatit za hodnotu </w:t>
      </w:r>
      <w:r w:rsidRPr="00797EA7">
        <w:rPr>
          <w:rFonts w:cstheme="minorHAnsi"/>
          <w:color w:val="000000" w:themeColor="text1"/>
          <w:lang w:val="cs-CZ"/>
        </w:rPr>
        <w:lastRenderedPageBreak/>
        <w:t>produktu přispívajícího k čistšímu životnímu prostředí (lidé více uvědomělí v oblasti životního prostředí), snaha o podporu ze strany vlády a dalších institucí s potenciálem ovlivnit tvůrce politik (</w:t>
      </w:r>
      <w:proofErr w:type="spellStart"/>
      <w:r w:rsidR="00567F4F" w:rsidRPr="00797EA7">
        <w:rPr>
          <w:rFonts w:cstheme="minorHAnsi"/>
          <w:color w:val="000000" w:themeColor="text1"/>
          <w:lang w:val="cs-CZ"/>
        </w:rPr>
        <w:t>Jain</w:t>
      </w:r>
      <w:proofErr w:type="spellEnd"/>
      <w:r w:rsidR="00567F4F" w:rsidRPr="00797EA7">
        <w:rPr>
          <w:rFonts w:cstheme="minorHAnsi"/>
          <w:color w:val="000000" w:themeColor="text1"/>
          <w:lang w:val="cs-CZ"/>
        </w:rPr>
        <w:t>, 2019)</w:t>
      </w:r>
      <w:r w:rsidRPr="00797EA7">
        <w:rPr>
          <w:rFonts w:cstheme="minorHAnsi"/>
          <w:color w:val="000000" w:themeColor="text1"/>
          <w:lang w:val="cs-CZ"/>
        </w:rPr>
        <w:t>.</w:t>
      </w:r>
    </w:p>
    <w:p w:rsidR="00B04D89" w:rsidRPr="00797EA7" w:rsidRDefault="00A46B5A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797EA7">
        <w:rPr>
          <w:rFonts w:cstheme="minorHAnsi"/>
          <w:color w:val="000000" w:themeColor="text1"/>
          <w:lang w:val="cs-CZ"/>
        </w:rPr>
        <w:t xml:space="preserve">Podpora zeleného podnikání je v posledních desetiletích stále důležitá, když například </w:t>
      </w:r>
      <w:proofErr w:type="spellStart"/>
      <w:r w:rsidRPr="00797EA7">
        <w:rPr>
          <w:rFonts w:cstheme="minorHAnsi"/>
          <w:color w:val="000000" w:themeColor="text1"/>
          <w:lang w:val="cs-CZ"/>
        </w:rPr>
        <w:t>Ashoka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Foundation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Billa </w:t>
      </w:r>
      <w:proofErr w:type="spellStart"/>
      <w:r w:rsidRPr="00797EA7">
        <w:rPr>
          <w:rFonts w:cstheme="minorHAnsi"/>
          <w:color w:val="000000" w:themeColor="text1"/>
          <w:lang w:val="cs-CZ"/>
        </w:rPr>
        <w:t>Draytona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, </w:t>
      </w:r>
      <w:proofErr w:type="spellStart"/>
      <w:r w:rsidRPr="00797EA7">
        <w:rPr>
          <w:rFonts w:cstheme="minorHAnsi"/>
          <w:color w:val="000000" w:themeColor="text1"/>
          <w:lang w:val="cs-CZ"/>
        </w:rPr>
        <w:t>Skoll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Foundation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Jeffa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Skolla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, </w:t>
      </w:r>
      <w:proofErr w:type="spellStart"/>
      <w:r w:rsidRPr="00797EA7">
        <w:rPr>
          <w:rFonts w:cstheme="minorHAnsi"/>
          <w:color w:val="000000" w:themeColor="text1"/>
          <w:lang w:val="cs-CZ"/>
        </w:rPr>
        <w:t>Schwab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Foundation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Hilde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a Klause </w:t>
      </w:r>
      <w:proofErr w:type="spellStart"/>
      <w:r w:rsidRPr="00797EA7">
        <w:rPr>
          <w:rFonts w:cstheme="minorHAnsi"/>
          <w:color w:val="000000" w:themeColor="text1"/>
          <w:lang w:val="cs-CZ"/>
        </w:rPr>
        <w:t>Schwabových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organizují své úsilí v oblasti vzdělávání, školení, zvyšování povědomí, podpory tvorby politik a iniciativ obyčejných lidí.  </w:t>
      </w:r>
    </w:p>
    <w:p w:rsidR="00B04D89" w:rsidRPr="00797EA7" w:rsidRDefault="00A46B5A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797EA7">
        <w:rPr>
          <w:rFonts w:cstheme="minorHAnsi"/>
          <w:color w:val="000000" w:themeColor="text1"/>
          <w:lang w:val="cs-CZ"/>
        </w:rPr>
        <w:t xml:space="preserve">Základy subjektů sociální ekonomiky s jejich étosem a organizačními strukturami jsou vedeny jejich kontextem každodenní praxe, v jejímž rámci se občané orientují na sociální a environmentální služby a produkty. SEE jsou ve svém primárním cíli a struktuře explicitně environmentální (kvůli sociální citlivosti, kvůli nákladům na jejich činnost) v tom, že recyklují, podporují biopotraviny atd. A co je zde ještě důležitější, jejich </w:t>
      </w:r>
      <w:r w:rsidR="00567F4F" w:rsidRPr="00797EA7">
        <w:rPr>
          <w:rFonts w:cstheme="minorHAnsi"/>
          <w:color w:val="000000" w:themeColor="text1"/>
          <w:lang w:val="cs-CZ"/>
        </w:rPr>
        <w:t xml:space="preserve">snaha o </w:t>
      </w:r>
      <w:r w:rsidRPr="00797EA7">
        <w:rPr>
          <w:rFonts w:cstheme="minorHAnsi"/>
          <w:color w:val="000000" w:themeColor="text1"/>
          <w:lang w:val="cs-CZ"/>
        </w:rPr>
        <w:t>dosažení sociálních cílů probíhá co nejekologičtějšími způsoby (</w:t>
      </w:r>
      <w:r w:rsidR="00567F4F" w:rsidRPr="00797EA7">
        <w:rPr>
          <w:rFonts w:cstheme="minorHAnsi"/>
          <w:color w:val="000000" w:themeColor="text1"/>
          <w:lang w:val="cs-CZ"/>
        </w:rPr>
        <w:t>Smith, 2005)</w:t>
      </w:r>
      <w:r w:rsidRPr="00797EA7">
        <w:rPr>
          <w:rFonts w:cstheme="minorHAnsi"/>
          <w:color w:val="000000" w:themeColor="text1"/>
          <w:lang w:val="cs-CZ"/>
        </w:rPr>
        <w:t>.</w:t>
      </w:r>
    </w:p>
    <w:p w:rsidR="00B04D89" w:rsidRPr="00797EA7" w:rsidRDefault="00A46B5A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797EA7">
        <w:rPr>
          <w:rFonts w:cstheme="minorHAnsi"/>
          <w:color w:val="000000" w:themeColor="text1"/>
          <w:lang w:val="cs-CZ"/>
        </w:rPr>
        <w:t xml:space="preserve">Zelené podnikání je novou a mnohem udržitelnější vlnou na trhu zahrnující řešení místních problémů zasazených do širšího sociálního systému a jeho vzájemných závislostí, která je nastavena na spuštění "kaskády vzájemně se posilujících změn, které vytvářejí a udržují transformované sociální uspořádání" </w:t>
      </w:r>
      <w:r w:rsidR="00567F4F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567F4F" w:rsidRPr="00797EA7">
        <w:rPr>
          <w:rFonts w:cstheme="minorHAnsi"/>
          <w:color w:val="000000" w:themeColor="text1"/>
          <w:lang w:val="cs-CZ"/>
        </w:rPr>
        <w:t>Alvord</w:t>
      </w:r>
      <w:proofErr w:type="spellEnd"/>
      <w:r w:rsidR="00567F4F" w:rsidRPr="00797EA7">
        <w:rPr>
          <w:rFonts w:cstheme="minorHAnsi"/>
          <w:color w:val="000000" w:themeColor="text1"/>
          <w:lang w:val="cs-CZ"/>
        </w:rPr>
        <w:t xml:space="preserve"> </w:t>
      </w:r>
      <w:r w:rsidR="00567F4F" w:rsidRPr="00797EA7">
        <w:rPr>
          <w:rFonts w:cstheme="minorHAnsi"/>
          <w:i/>
          <w:iCs/>
          <w:color w:val="000000" w:themeColor="text1"/>
          <w:lang w:val="cs-CZ"/>
        </w:rPr>
        <w:t xml:space="preserve">a </w:t>
      </w:r>
      <w:proofErr w:type="gramStart"/>
      <w:r w:rsidR="00567F4F" w:rsidRPr="00797EA7">
        <w:rPr>
          <w:rFonts w:cstheme="minorHAnsi"/>
          <w:i/>
          <w:iCs/>
          <w:color w:val="000000" w:themeColor="text1"/>
          <w:lang w:val="cs-CZ"/>
        </w:rPr>
        <w:t xml:space="preserve">kol. </w:t>
      </w:r>
      <w:r w:rsidR="00567F4F" w:rsidRPr="00797EA7">
        <w:rPr>
          <w:rFonts w:cstheme="minorHAnsi"/>
          <w:color w:val="000000" w:themeColor="text1"/>
          <w:lang w:val="cs-CZ"/>
        </w:rPr>
        <w:t>,</w:t>
      </w:r>
      <w:proofErr w:type="gramEnd"/>
      <w:r w:rsidR="00567F4F" w:rsidRPr="00797EA7">
        <w:rPr>
          <w:rFonts w:cstheme="minorHAnsi"/>
          <w:color w:val="000000" w:themeColor="text1"/>
          <w:lang w:val="cs-CZ"/>
        </w:rPr>
        <w:t xml:space="preserve"> 2004)</w:t>
      </w:r>
      <w:r w:rsidRPr="00797EA7">
        <w:rPr>
          <w:rFonts w:cstheme="minorHAnsi"/>
          <w:color w:val="000000" w:themeColor="text1"/>
          <w:lang w:val="cs-CZ"/>
        </w:rPr>
        <w:t xml:space="preserve">. Udržitelná sociální transformace je považována za katalyzátor sociálního podnikání, které je tvůrcem inovativních řešení sociálních problémů, mobilizuje myšlenky, zvyšuje/rozšiřuje kapacity, (re)alokuje zdroje, vytváří sociální opatření pro dlouhodobá řešení. </w:t>
      </w:r>
    </w:p>
    <w:p w:rsidR="00B04D89" w:rsidRPr="00797EA7" w:rsidRDefault="00A46B5A">
      <w:pPr>
        <w:jc w:val="both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color w:val="000000" w:themeColor="text1"/>
          <w:lang w:val="cs-CZ"/>
        </w:rPr>
        <w:t xml:space="preserve">Sociální ekonomika se svým étosem a organizačními strukturami v sobě skrývá potenciál orientovat občany na environmentální aspekty. Zároveň je atraktivním místem pro rozvoj a vyjádření environmentálně užitečné </w:t>
      </w:r>
      <w:r w:rsidR="00797EA7" w:rsidRPr="00797EA7">
        <w:rPr>
          <w:rFonts w:cstheme="minorHAnsi"/>
          <w:color w:val="000000" w:themeColor="text1"/>
          <w:lang w:val="cs-CZ"/>
        </w:rPr>
        <w:t>angažovanosti – práce</w:t>
      </w:r>
      <w:r w:rsidRPr="00797EA7">
        <w:rPr>
          <w:rFonts w:cstheme="minorHAnsi"/>
          <w:color w:val="000000" w:themeColor="text1"/>
          <w:lang w:val="cs-CZ"/>
        </w:rPr>
        <w:t xml:space="preserve">, výroby nebo etické spotřeby. Struktura řízení sociální ekonomiky poskytuje mechanismy otevřené různým zúčastněným stranám, které umožňují účast a podněcují procesy sociálního a ekonomického řízení (zvyšování environmentálních a sociálních znalostí, pěstování ctností zaměřených na ochranu životního prostředí, rozvoj kritických dovedností). Klíčovým výsledkem řídící struktury je posílení postavení členů jednotlivých subjektů sociální ekonomiky v rámci její struktury a posílení postavení příjemců procesů poskytování služeb v širší komunitě </w:t>
      </w:r>
      <w:r w:rsidR="00567F4F" w:rsidRPr="00797EA7">
        <w:rPr>
          <w:rFonts w:cstheme="minorHAnsi"/>
          <w:color w:val="000000" w:themeColor="text1"/>
          <w:lang w:val="cs-CZ"/>
        </w:rPr>
        <w:t>(Smith, 2005)</w:t>
      </w:r>
      <w:r w:rsidRPr="00797EA7">
        <w:rPr>
          <w:rFonts w:cstheme="minorHAnsi"/>
          <w:color w:val="000000" w:themeColor="text1"/>
          <w:lang w:val="cs-CZ"/>
        </w:rPr>
        <w:t xml:space="preserve">. Uznávání povinností ve vztahu k životnímu prostředí spolu s povinnostmi, které jsou s těmito povinnostmi v souladu, se zdá být obzvláště plodné v rámci cílů, ctností a vlastností, z nichž organizace sociální ekonomiky vychází </w:t>
      </w:r>
      <w:r w:rsidR="00567F4F" w:rsidRPr="00797EA7">
        <w:rPr>
          <w:rFonts w:cstheme="minorHAnsi"/>
          <w:color w:val="000000" w:themeColor="text1"/>
          <w:lang w:val="cs-CZ"/>
        </w:rPr>
        <w:t>(</w:t>
      </w:r>
      <w:r w:rsidR="002D4D00" w:rsidRPr="00797EA7">
        <w:rPr>
          <w:rFonts w:cstheme="minorHAnsi"/>
          <w:color w:val="000000" w:themeColor="text1"/>
          <w:lang w:val="cs-CZ"/>
        </w:rPr>
        <w:t xml:space="preserve">Smith, 2005; </w:t>
      </w:r>
      <w:proofErr w:type="spellStart"/>
      <w:r w:rsidR="002D4D00" w:rsidRPr="00797EA7">
        <w:rPr>
          <w:rFonts w:cstheme="minorHAnsi"/>
          <w:color w:val="000000" w:themeColor="text1"/>
          <w:lang w:val="cs-CZ"/>
        </w:rPr>
        <w:t>Warren</w:t>
      </w:r>
      <w:proofErr w:type="spellEnd"/>
      <w:r w:rsidR="002D4D00" w:rsidRPr="00797EA7">
        <w:rPr>
          <w:rFonts w:cstheme="minorHAnsi"/>
          <w:color w:val="000000" w:themeColor="text1"/>
          <w:lang w:val="cs-CZ"/>
        </w:rPr>
        <w:t>, 2001)</w:t>
      </w:r>
      <w:r w:rsidRPr="00797EA7">
        <w:rPr>
          <w:rStyle w:val="Znakapoznpodarou"/>
          <w:rFonts w:cstheme="minorHAnsi"/>
          <w:color w:val="000000" w:themeColor="text1"/>
          <w:lang w:val="cs-CZ"/>
        </w:rPr>
        <w:footnoteReference w:id="3"/>
      </w:r>
      <w:r w:rsidRPr="00797EA7">
        <w:rPr>
          <w:rFonts w:cstheme="minorHAnsi"/>
          <w:color w:val="000000" w:themeColor="text1"/>
          <w:lang w:val="cs-CZ"/>
        </w:rPr>
        <w:t xml:space="preserve"> . Zvláštní hodnota je přisuzována angažovanosti subjektů sociální ekonomiky v oblasti zvyšování povědomí a porozumění environmentálním souvislostem, neboť nedostatečné povědomí bylo uznáno za jednu z hlavních překážek pro</w:t>
      </w:r>
      <w:r w:rsidR="00797EA7">
        <w:rPr>
          <w:rFonts w:cstheme="minorHAnsi"/>
          <w:color w:val="000000" w:themeColor="text1"/>
          <w:lang w:val="cs-CZ"/>
        </w:rPr>
        <w:t xml:space="preserve"> </w:t>
      </w:r>
      <w:r w:rsidRPr="00797EA7">
        <w:rPr>
          <w:rFonts w:cstheme="minorHAnsi"/>
          <w:color w:val="000000" w:themeColor="text1"/>
          <w:lang w:val="cs-CZ"/>
        </w:rPr>
        <w:t xml:space="preserve">environmentálního jednání. Existuje řada institucionálních návrhů, které jsou velmi slibné pro praktikování různých forem účasti v tomto ohledu. Iniciativy sociálního podnikání vnímané jako katalyzátory pro-environmentálních aktivit mají potenciál pro budování kapacit, v jejichž rámci místní poskytovatelé zdrojů kladou důraz na rozšiřování prostřednictvím organizování skupin a vedou k pákovým změnám a transformačním dopadům na normy a očekávání </w:t>
      </w:r>
      <w:r w:rsidR="00257872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257872" w:rsidRPr="00797EA7">
        <w:rPr>
          <w:rFonts w:cstheme="minorHAnsi"/>
          <w:color w:val="000000" w:themeColor="text1"/>
          <w:lang w:val="cs-CZ"/>
        </w:rPr>
        <w:t>Alvord</w:t>
      </w:r>
      <w:proofErr w:type="spellEnd"/>
      <w:r w:rsidR="00257872" w:rsidRPr="00797EA7">
        <w:rPr>
          <w:rFonts w:cstheme="minorHAnsi"/>
          <w:color w:val="000000" w:themeColor="text1"/>
          <w:lang w:val="cs-CZ"/>
        </w:rPr>
        <w:t xml:space="preserve"> </w:t>
      </w:r>
      <w:proofErr w:type="gramStart"/>
      <w:r w:rsidR="00257872" w:rsidRPr="00797EA7">
        <w:rPr>
          <w:rFonts w:cstheme="minorHAnsi"/>
          <w:i/>
          <w:iCs/>
          <w:color w:val="000000" w:themeColor="text1"/>
          <w:lang w:val="cs-CZ"/>
        </w:rPr>
        <w:t xml:space="preserve">et al. </w:t>
      </w:r>
      <w:r w:rsidR="00257872" w:rsidRPr="00797EA7">
        <w:rPr>
          <w:rFonts w:cstheme="minorHAnsi"/>
          <w:color w:val="000000" w:themeColor="text1"/>
          <w:lang w:val="cs-CZ"/>
        </w:rPr>
        <w:t>,</w:t>
      </w:r>
      <w:proofErr w:type="gramEnd"/>
      <w:r w:rsidR="00257872" w:rsidRPr="00797EA7">
        <w:rPr>
          <w:rFonts w:cstheme="minorHAnsi"/>
          <w:color w:val="000000" w:themeColor="text1"/>
          <w:lang w:val="cs-CZ"/>
        </w:rPr>
        <w:t xml:space="preserve"> 2004)</w:t>
      </w:r>
      <w:r w:rsidRPr="00797EA7">
        <w:rPr>
          <w:rFonts w:cstheme="minorHAnsi"/>
          <w:color w:val="000000" w:themeColor="text1"/>
          <w:lang w:val="cs-CZ"/>
        </w:rPr>
        <w:t xml:space="preserve">. Lze očekávat některé přímé environmentální výsledky, jako je zlepšení vzhledu fyzického prostředí, snížení množství nerecyklovaných odpadních produktů, příspěvek k místnímu environmentálnímu kapitálu, atraktivnější místo pro práci,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>renovace starých budov, přemístění nevyužitého majetku, regenerace fyzické infrastruktury obce, regenerace fyzické infrastruktury regionu</w:t>
      </w:r>
      <w:r w:rsidRPr="00797EA7">
        <w:rPr>
          <w:rFonts w:cstheme="minorHAnsi"/>
          <w:color w:val="000000" w:themeColor="text1"/>
          <w:lang w:val="cs-CZ"/>
        </w:rPr>
        <w:t xml:space="preserve">. Mezi </w:t>
      </w:r>
      <w:r w:rsidRPr="00797EA7">
        <w:rPr>
          <w:rFonts w:cstheme="minorHAnsi"/>
          <w:color w:val="000000" w:themeColor="text1"/>
          <w:lang w:val="cs-CZ"/>
        </w:rPr>
        <w:lastRenderedPageBreak/>
        <w:t xml:space="preserve">nepřímé environmentální výsledky patří zvýšení atraktivity regionu, zlepšení environmentálního kontextu, příspěvek k programu udržitelnosti, příspěvek k regionálnímu environmentálnímu kapitálu </w:t>
      </w:r>
      <w:r w:rsidR="00257872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257872" w:rsidRPr="00797EA7">
        <w:rPr>
          <w:rFonts w:cstheme="minorHAnsi"/>
          <w:color w:val="000000" w:themeColor="text1"/>
          <w:lang w:val="cs-CZ"/>
        </w:rPr>
        <w:t>Mair</w:t>
      </w:r>
      <w:proofErr w:type="spellEnd"/>
      <w:r w:rsidR="00257872" w:rsidRPr="00797EA7">
        <w:rPr>
          <w:rFonts w:cstheme="minorHAnsi"/>
          <w:color w:val="000000" w:themeColor="text1"/>
          <w:lang w:val="cs-CZ"/>
        </w:rPr>
        <w:t xml:space="preserve"> </w:t>
      </w:r>
      <w:proofErr w:type="gramStart"/>
      <w:r w:rsidR="00257872" w:rsidRPr="00797EA7">
        <w:rPr>
          <w:rFonts w:cstheme="minorHAnsi"/>
          <w:i/>
          <w:iCs/>
          <w:color w:val="000000" w:themeColor="text1"/>
          <w:lang w:val="cs-CZ"/>
        </w:rPr>
        <w:t xml:space="preserve">et al. </w:t>
      </w:r>
      <w:r w:rsidR="00257872" w:rsidRPr="00797EA7">
        <w:rPr>
          <w:rFonts w:cstheme="minorHAnsi"/>
          <w:color w:val="000000" w:themeColor="text1"/>
          <w:lang w:val="cs-CZ"/>
        </w:rPr>
        <w:t>,</w:t>
      </w:r>
      <w:proofErr w:type="gramEnd"/>
      <w:r w:rsidR="00257872" w:rsidRPr="00797EA7">
        <w:rPr>
          <w:rFonts w:cstheme="minorHAnsi"/>
          <w:color w:val="000000" w:themeColor="text1"/>
          <w:lang w:val="cs-CZ"/>
        </w:rPr>
        <w:t xml:space="preserve"> 2006)</w:t>
      </w:r>
      <w:r w:rsidRPr="00797EA7">
        <w:rPr>
          <w:rFonts w:cstheme="minorHAnsi"/>
          <w:color w:val="000000" w:themeColor="text1"/>
          <w:lang w:val="cs-CZ"/>
        </w:rPr>
        <w:t>.</w:t>
      </w:r>
    </w:p>
    <w:p w:rsidR="005969FC" w:rsidRPr="00797EA7" w:rsidRDefault="005969FC" w:rsidP="005969FC">
      <w:pPr>
        <w:spacing w:after="120"/>
        <w:jc w:val="both"/>
        <w:rPr>
          <w:rFonts w:eastAsia="Calibri" w:cstheme="minorHAnsi"/>
          <w:lang w:val="cs-CZ"/>
        </w:rPr>
      </w:pPr>
    </w:p>
    <w:p w:rsidR="00B04D89" w:rsidRPr="00797EA7" w:rsidRDefault="00A46B5A">
      <w:pPr>
        <w:pStyle w:val="Nadpis1"/>
        <w:rPr>
          <w:rStyle w:val="spellingerror"/>
          <w:rFonts w:ascii="Calibri" w:hAnsi="Calibri" w:cs="Calibri"/>
          <w:color w:val="538135" w:themeColor="accent6" w:themeShade="BF"/>
          <w:lang w:val="cs-CZ"/>
        </w:rPr>
      </w:pPr>
      <w:r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br w:type="column"/>
      </w:r>
      <w:bookmarkStart w:id="4" w:name="_Toc117681707"/>
      <w:r w:rsidR="00424FD3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lastRenderedPageBreak/>
        <w:t xml:space="preserve">Kapitola </w:t>
      </w:r>
      <w:r w:rsidR="00877B5C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2</w:t>
      </w:r>
      <w:r w:rsidR="00424FD3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 xml:space="preserve">. </w:t>
      </w:r>
      <w:r w:rsidR="005969FC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Zelené dovednosti jako prvek zelené transformace</w:t>
      </w:r>
      <w:bookmarkEnd w:id="4"/>
    </w:p>
    <w:p w:rsidR="00424FD3" w:rsidRPr="00797EA7" w:rsidRDefault="00424FD3" w:rsidP="005E76D4">
      <w:pPr>
        <w:spacing w:before="120" w:after="120"/>
        <w:jc w:val="both"/>
        <w:rPr>
          <w:rFonts w:eastAsiaTheme="minorEastAsia" w:cstheme="minorHAnsi"/>
          <w:b/>
          <w:bCs/>
          <w:color w:val="538135" w:themeColor="accent6" w:themeShade="BF"/>
          <w:lang w:val="cs-CZ" w:eastAsia="pl-PL"/>
        </w:rPr>
      </w:pPr>
    </w:p>
    <w:p w:rsidR="00B04D89" w:rsidRPr="00797EA7" w:rsidRDefault="00A46B5A">
      <w:pPr>
        <w:spacing w:after="120"/>
        <w:jc w:val="both"/>
        <w:rPr>
          <w:rFonts w:eastAsia="Times" w:cstheme="minorHAnsi"/>
          <w:lang w:val="cs-CZ"/>
        </w:rPr>
      </w:pPr>
      <w:r w:rsidRPr="00797EA7">
        <w:rPr>
          <w:rFonts w:eastAsia="Times" w:cstheme="minorHAnsi"/>
          <w:lang w:val="cs-CZ"/>
        </w:rPr>
        <w:t>Potřeba rozvoje zelených dovedností souvisí s výzvami, kterým již celý svět čelí: devastace životního prostředí, omezování přírodních zdrojů (včetně zdrojů energie), postupující změna klimatu, které se člověk musí přizpůsobit. Jak bylo uvedeno výše, zejména země Evropské unie přijímají opatření k překonání environmentálních problémů a zároveň formují rámec socioekonomického rozvoje s ohledem na životní prostředí prostřednictvím systémových změn zaměřených na vytvoření nízkouhlíkového a oběhového hospodářství. Tyto aktivity jsou spojeny se strukturálními změnami v mnoha odvětvích tradičních ekonomik, změnami v podnicích (výrobní/služební procesy, nabízené produkty, služby šetrnější k životnímu prostředí), spotřebou domácností, aktivitami místních (např. systém nakládání s odpady) i centrálních orgánů (např. rozvoj obnovitelných zdrojů energie). Změny vyžadují určité předpisy, finanční nástroje, plánování a řízení, vzdělávací aktivity atd. Aby se výše uvedené změny mohly uskutečnit, jsou nutné dovednosti nového druhu.</w:t>
      </w:r>
    </w:p>
    <w:p w:rsidR="00B04D89" w:rsidRPr="00797EA7" w:rsidRDefault="00A46B5A">
      <w:pPr>
        <w:spacing w:after="120"/>
        <w:jc w:val="both"/>
        <w:rPr>
          <w:rFonts w:eastAsiaTheme="minorEastAsia" w:cstheme="minorHAnsi"/>
          <w:lang w:val="cs-CZ"/>
        </w:rPr>
      </w:pPr>
      <w:r w:rsidRPr="00797EA7">
        <w:rPr>
          <w:rFonts w:eastAsia="Times" w:cstheme="minorHAnsi"/>
          <w:lang w:val="cs-CZ"/>
        </w:rPr>
        <w:t xml:space="preserve">Nutnost vzniku oběhového hospodářství zvýšila tlak na přizpůsobení </w:t>
      </w:r>
      <w:r w:rsidRPr="00797EA7">
        <w:rPr>
          <w:rFonts w:eastAsia="Times" w:cstheme="minorHAnsi"/>
          <w:color w:val="000000" w:themeColor="text1"/>
          <w:lang w:val="cs-CZ"/>
        </w:rPr>
        <w:t xml:space="preserve">dovedností pracovníků, které požadují odvětví zaměřená na ekologicky udržitelnější technologie. </w:t>
      </w:r>
      <w:r w:rsidRPr="00797EA7">
        <w:rPr>
          <w:rFonts w:eastAsiaTheme="minorEastAsia" w:cstheme="minorHAnsi"/>
          <w:color w:val="000000" w:themeColor="text1"/>
          <w:lang w:val="cs-CZ"/>
        </w:rPr>
        <w:t xml:space="preserve">Rostoucí </w:t>
      </w:r>
      <w:r w:rsidRPr="00797EA7">
        <w:rPr>
          <w:rFonts w:eastAsiaTheme="minorEastAsia" w:cstheme="minorHAnsi"/>
          <w:lang w:val="cs-CZ"/>
        </w:rPr>
        <w:t xml:space="preserve">potřeba dovedností pro plnění ekologicky orientovaných úkolů vyžaduje, aby absolventi byli vedle technických a měkkých dovedností více vybaveni i dovednostmi ekologickými. </w:t>
      </w:r>
      <w:r w:rsidR="009D0442" w:rsidRPr="00797EA7">
        <w:rPr>
          <w:rFonts w:eastAsiaTheme="minorEastAsia" w:cstheme="minorHAnsi"/>
          <w:lang w:val="cs-CZ"/>
        </w:rPr>
        <w:t xml:space="preserve">Tyto nové dovednosti mohou být diferencovány v závislosti na odvětví, jeho specifikách, mohou to být dovednosti nízké, střední nebo vysoké. Zvláště žádoucí jsou ty vysoké, a to z důvodu vazby na výzkum, inovace zaměřené na moderní energetická řešení a řešení účinně využívající zdroje. Nesmíme však zapomínat ani na dovednosti spojené s pracovními místy nezbytnými pro snižování spotřeby energie a přijímání opatření ke zvýšení energetické účinnosti (např. poptávka po pracovnících v oblasti izolací, elektrikářích a instalatérech </w:t>
      </w:r>
      <w:proofErr w:type="spellStart"/>
      <w:r w:rsidR="009D0442" w:rsidRPr="00797EA7">
        <w:rPr>
          <w:rFonts w:eastAsiaTheme="minorEastAsia" w:cstheme="minorHAnsi"/>
          <w:lang w:val="cs-CZ"/>
        </w:rPr>
        <w:t>fotovoltaických</w:t>
      </w:r>
      <w:proofErr w:type="spellEnd"/>
      <w:r w:rsidR="009D0442" w:rsidRPr="00797EA7">
        <w:rPr>
          <w:rFonts w:eastAsiaTheme="minorEastAsia" w:cstheme="minorHAnsi"/>
          <w:lang w:val="cs-CZ"/>
        </w:rPr>
        <w:t xml:space="preserve"> systémů), recyklace, rozvoje čisté dopravy apod. Dále jsou potřebné dovednosti související s návrhem vhodných odvětvových politik, prováděním environmentální legislativy, ekologickou daňovou reformou, vhodnými finančními nástroji (zelené dluhopisy), systémy řízení výroby/služeb šetrnějšími k životnímu prostředí.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Poslední hospodářská krize v letech 2008-2010 a realizované programy související s nízkouhlíkovou ekonomikou a ekonomikou účinně využívající zdroje, které ji měly překonat, ukázaly nedostatek dovedností potřebných na cestě k zelené transformaci. "Transformace vyvolaná ekologizací ekonomiky ovlivňuje potřeby dovedností třemi způsoby: zaprvé, </w:t>
      </w:r>
      <w:r w:rsidRPr="00797EA7">
        <w:rPr>
          <w:rFonts w:cstheme="minorHAnsi"/>
          <w:b/>
          <w:bCs/>
          <w:lang w:val="cs-CZ"/>
        </w:rPr>
        <w:t xml:space="preserve">strukturální změny </w:t>
      </w:r>
      <w:r w:rsidRPr="00797EA7">
        <w:rPr>
          <w:rFonts w:cstheme="minorHAnsi"/>
          <w:lang w:val="cs-CZ"/>
        </w:rPr>
        <w:t xml:space="preserve">vedou ke zvýšené poptávce po některých profesích a kvalifikačních profilech, tzv. </w:t>
      </w:r>
      <w:r w:rsidRPr="00797EA7">
        <w:rPr>
          <w:rFonts w:cstheme="minorHAnsi"/>
          <w:b/>
          <w:bCs/>
          <w:lang w:val="cs-CZ"/>
        </w:rPr>
        <w:t xml:space="preserve">zelených profesích se zvýšenou poptávkou (GIDO), </w:t>
      </w:r>
      <w:r w:rsidRPr="00797EA7">
        <w:rPr>
          <w:rFonts w:cstheme="minorHAnsi"/>
          <w:bCs/>
          <w:lang w:val="cs-CZ"/>
        </w:rPr>
        <w:t>a ke</w:t>
      </w:r>
      <w:r w:rsidRPr="00797EA7">
        <w:rPr>
          <w:rFonts w:cstheme="minorHAnsi"/>
          <w:b/>
          <w:bCs/>
          <w:lang w:val="cs-CZ"/>
        </w:rPr>
        <w:t xml:space="preserve"> </w:t>
      </w:r>
      <w:r w:rsidRPr="00797EA7">
        <w:rPr>
          <w:rFonts w:cstheme="minorHAnsi"/>
          <w:lang w:val="cs-CZ"/>
        </w:rPr>
        <w:t xml:space="preserve">snížené poptávce po jiných. To vyvolává potřebu odborné přípravy, která podnikům a pracovníkům umožní přejít z upadajících odvětví a profesí do odvětví a profesí, které rostou; za druhé, </w:t>
      </w:r>
      <w:r w:rsidRPr="00797EA7">
        <w:rPr>
          <w:rFonts w:cstheme="minorHAnsi"/>
          <w:b/>
          <w:bCs/>
          <w:lang w:val="cs-CZ"/>
        </w:rPr>
        <w:t xml:space="preserve">nové ekonomické činnosti </w:t>
      </w:r>
      <w:r w:rsidRPr="00797EA7">
        <w:rPr>
          <w:rFonts w:cstheme="minorHAnsi"/>
          <w:lang w:val="cs-CZ"/>
        </w:rPr>
        <w:t xml:space="preserve">vytvářejí zcela nové profese, které vyžadují poskytování vhodných vzdělávacích kurzů a přizpůsobení systémů kvalifikace a odborné přípravy </w:t>
      </w:r>
      <w:r w:rsidRPr="00797EA7">
        <w:rPr>
          <w:rFonts w:cstheme="minorHAnsi"/>
          <w:b/>
          <w:bCs/>
          <w:lang w:val="cs-CZ"/>
        </w:rPr>
        <w:t>novým a vznikajícím ekologickým profesím (GNEO)</w:t>
      </w:r>
      <w:r w:rsidRPr="00797EA7">
        <w:rPr>
          <w:rFonts w:cstheme="minorHAnsi"/>
          <w:lang w:val="cs-CZ"/>
        </w:rPr>
        <w:t xml:space="preserve">; za třetí, a to je nejpronikavější, mnoho </w:t>
      </w:r>
      <w:r w:rsidRPr="00797EA7">
        <w:rPr>
          <w:rFonts w:cstheme="minorHAnsi"/>
          <w:b/>
          <w:bCs/>
          <w:lang w:val="cs-CZ"/>
        </w:rPr>
        <w:t xml:space="preserve">stávajících profesí a odvětví zažívá ekologizaci stávajících pracovních míst </w:t>
      </w:r>
      <w:r w:rsidRPr="00797EA7">
        <w:rPr>
          <w:rFonts w:cstheme="minorHAnsi"/>
          <w:lang w:val="cs-CZ"/>
        </w:rPr>
        <w:t>(</w:t>
      </w:r>
      <w:r w:rsidRPr="00797EA7">
        <w:rPr>
          <w:rFonts w:cstheme="minorHAnsi"/>
          <w:b/>
          <w:bCs/>
          <w:lang w:val="cs-CZ"/>
        </w:rPr>
        <w:t xml:space="preserve">zelené profese s rozšířenými dovednostmi - GESO), </w:t>
      </w:r>
      <w:r w:rsidRPr="00797EA7">
        <w:rPr>
          <w:rFonts w:cstheme="minorHAnsi"/>
          <w:lang w:val="cs-CZ"/>
        </w:rPr>
        <w:t xml:space="preserve">což vede k významným změnám v úkolech a dovednostech požadovaných od pracovníků. Tento zdroj změn v požadavcích na dovednosti je nejčastější a vyžaduje velké úsilí o revizi stávajících učebních osnov, kvalifikačních standardů a vzdělávacích programů na všech úrovních vzdělávání a odborné přípravy. Všechny tři zdroje </w:t>
      </w:r>
      <w:r w:rsidR="00797EA7" w:rsidRPr="00797EA7">
        <w:rPr>
          <w:rFonts w:cstheme="minorHAnsi"/>
          <w:lang w:val="cs-CZ"/>
        </w:rPr>
        <w:t>změn – přesuny</w:t>
      </w:r>
      <w:r w:rsidRPr="00797EA7">
        <w:rPr>
          <w:rFonts w:cstheme="minorHAnsi"/>
          <w:b/>
          <w:bCs/>
          <w:lang w:val="cs-CZ"/>
        </w:rPr>
        <w:t xml:space="preserve"> mezi průmyslovými odvětvími</w:t>
      </w:r>
      <w:r w:rsidRPr="00797EA7">
        <w:rPr>
          <w:rFonts w:cstheme="minorHAnsi"/>
          <w:lang w:val="cs-CZ"/>
        </w:rPr>
        <w:t xml:space="preserve">, </w:t>
      </w:r>
      <w:r w:rsidRPr="00797EA7">
        <w:rPr>
          <w:rFonts w:cstheme="minorHAnsi"/>
          <w:b/>
          <w:bCs/>
          <w:lang w:val="cs-CZ"/>
        </w:rPr>
        <w:t xml:space="preserve">rozvoj nových povolání </w:t>
      </w:r>
      <w:r w:rsidRPr="00797EA7">
        <w:rPr>
          <w:rFonts w:cstheme="minorHAnsi"/>
          <w:lang w:val="cs-CZ"/>
        </w:rPr>
        <w:t xml:space="preserve">a </w:t>
      </w:r>
      <w:r w:rsidRPr="00797EA7">
        <w:rPr>
          <w:rFonts w:cstheme="minorHAnsi"/>
          <w:b/>
          <w:bCs/>
          <w:lang w:val="cs-CZ"/>
        </w:rPr>
        <w:t xml:space="preserve">změny kvalifikačních profilů v rámci </w:t>
      </w:r>
      <w:proofErr w:type="gramStart"/>
      <w:r w:rsidRPr="00797EA7">
        <w:rPr>
          <w:rFonts w:cstheme="minorHAnsi"/>
          <w:b/>
          <w:bCs/>
          <w:lang w:val="cs-CZ"/>
        </w:rPr>
        <w:lastRenderedPageBreak/>
        <w:t xml:space="preserve">povolání - </w:t>
      </w:r>
      <w:r w:rsidRPr="00797EA7">
        <w:rPr>
          <w:rFonts w:cstheme="minorHAnsi"/>
          <w:lang w:val="cs-CZ"/>
        </w:rPr>
        <w:t>mění</w:t>
      </w:r>
      <w:proofErr w:type="gramEnd"/>
      <w:r w:rsidRPr="00797EA7">
        <w:rPr>
          <w:rFonts w:cstheme="minorHAnsi"/>
          <w:lang w:val="cs-CZ"/>
        </w:rPr>
        <w:t xml:space="preserve"> kvalifikační profily povolání, a tím ovlivňují potřeby a poskytování odborné přípravy."(</w:t>
      </w:r>
      <w:r w:rsidR="00FB6D75" w:rsidRPr="00797EA7">
        <w:rPr>
          <w:rFonts w:cstheme="minorHAnsi"/>
          <w:lang w:val="cs-CZ"/>
        </w:rPr>
        <w:t>CEDEFOP, 2012) (</w:t>
      </w:r>
      <w:r w:rsidR="00624F0A" w:rsidRPr="00797EA7">
        <w:rPr>
          <w:rFonts w:cstheme="minorHAnsi"/>
          <w:lang w:val="cs-CZ"/>
        </w:rPr>
        <w:t xml:space="preserve">Schéma </w:t>
      </w:r>
      <w:r w:rsidR="00877B5C" w:rsidRPr="00797EA7">
        <w:rPr>
          <w:rFonts w:cstheme="minorHAnsi"/>
          <w:lang w:val="cs-CZ"/>
        </w:rPr>
        <w:t>1)</w:t>
      </w:r>
      <w:r w:rsidR="00624F0A" w:rsidRPr="00797EA7">
        <w:rPr>
          <w:rFonts w:cstheme="minorHAnsi"/>
          <w:lang w:val="cs-CZ"/>
        </w:rPr>
        <w:t>.</w:t>
      </w:r>
    </w:p>
    <w:p w:rsidR="005B61BC" w:rsidRPr="00797EA7" w:rsidRDefault="005B61BC" w:rsidP="005969FC">
      <w:pPr>
        <w:spacing w:after="120"/>
        <w:jc w:val="both"/>
        <w:rPr>
          <w:rFonts w:eastAsiaTheme="minorEastAsia" w:cstheme="minorHAnsi"/>
          <w:lang w:val="cs-CZ"/>
        </w:rPr>
      </w:pPr>
    </w:p>
    <w:p w:rsidR="00B04D89" w:rsidRPr="00797EA7" w:rsidRDefault="00A46B5A">
      <w:pPr>
        <w:pStyle w:val="Titulek"/>
        <w:rPr>
          <w:rFonts w:cstheme="minorHAnsi"/>
          <w:i w:val="0"/>
          <w:iCs w:val="0"/>
          <w:color w:val="auto"/>
          <w:sz w:val="24"/>
          <w:szCs w:val="24"/>
          <w:lang w:val="cs-CZ"/>
        </w:rPr>
      </w:pPr>
      <w:bookmarkStart w:id="5" w:name="_Toc109046988"/>
      <w:r w:rsidRPr="00797EA7">
        <w:rPr>
          <w:rFonts w:cstheme="minorHAnsi"/>
          <w:b/>
          <w:bCs/>
          <w:i w:val="0"/>
          <w:iCs w:val="0"/>
          <w:color w:val="auto"/>
          <w:sz w:val="24"/>
          <w:szCs w:val="24"/>
          <w:lang w:val="cs-CZ"/>
        </w:rPr>
        <w:t xml:space="preserve">Schéma </w:t>
      </w:r>
      <w:r w:rsidRPr="00797EA7">
        <w:rPr>
          <w:rFonts w:cstheme="minorHAnsi"/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rFonts w:cstheme="minorHAnsi"/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Scheme \* ARABIC </w:instrText>
      </w:r>
      <w:r w:rsidRPr="00797EA7">
        <w:rPr>
          <w:rFonts w:cstheme="minorHAnsi"/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877B5C" w:rsidRPr="00797EA7">
        <w:rPr>
          <w:rFonts w:cstheme="minorHAnsi"/>
          <w:b/>
          <w:bCs/>
          <w:i w:val="0"/>
          <w:iCs w:val="0"/>
          <w:color w:val="auto"/>
          <w:sz w:val="24"/>
          <w:szCs w:val="24"/>
          <w:lang w:val="cs-CZ"/>
        </w:rPr>
        <w:t>1</w:t>
      </w:r>
      <w:r w:rsidRPr="00797EA7">
        <w:rPr>
          <w:rFonts w:cstheme="minorHAnsi"/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rFonts w:cstheme="minorHAnsi"/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rFonts w:cstheme="minorHAnsi"/>
          <w:i w:val="0"/>
          <w:iCs w:val="0"/>
          <w:color w:val="auto"/>
          <w:sz w:val="24"/>
          <w:szCs w:val="24"/>
          <w:lang w:val="cs-CZ"/>
        </w:rPr>
        <w:t xml:space="preserve"> Důvody potřeby dovedností v souvislosti s přechodem na zelené hospodářství</w:t>
      </w:r>
      <w:bookmarkEnd w:id="5"/>
    </w:p>
    <w:p w:rsidR="00624F0A" w:rsidRPr="00797EA7" w:rsidRDefault="00624F0A" w:rsidP="00624F0A">
      <w:pPr>
        <w:rPr>
          <w:lang w:val="cs-CZ"/>
        </w:rPr>
      </w:pPr>
      <w:r w:rsidRPr="00797EA7">
        <w:rPr>
          <w:noProof/>
          <w:lang w:val="cs-CZ"/>
        </w:rPr>
        <w:drawing>
          <wp:inline distT="0" distB="0" distL="0" distR="0" wp14:anchorId="3B9FDA6B" wp14:editId="460EE822">
            <wp:extent cx="5760720" cy="2131060"/>
            <wp:effectExtent l="0" t="0" r="49530" b="254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04D89" w:rsidRPr="00797EA7" w:rsidRDefault="00A46B5A">
      <w:pPr>
        <w:jc w:val="both"/>
        <w:rPr>
          <w:sz w:val="20"/>
          <w:szCs w:val="20"/>
          <w:lang w:val="cs-CZ"/>
        </w:rPr>
      </w:pPr>
      <w:r w:rsidRPr="00797EA7">
        <w:rPr>
          <w:sz w:val="20"/>
          <w:szCs w:val="20"/>
          <w:lang w:val="cs-CZ"/>
        </w:rPr>
        <w:t xml:space="preserve">Zdroj: vlastní zpracování na základě: </w:t>
      </w:r>
      <w:r w:rsidR="00A65DA6" w:rsidRPr="00797EA7">
        <w:rPr>
          <w:sz w:val="20"/>
          <w:szCs w:val="20"/>
          <w:lang w:val="cs-CZ"/>
        </w:rPr>
        <w:t>(</w:t>
      </w:r>
      <w:r w:rsidR="00704FE3" w:rsidRPr="00797EA7">
        <w:rPr>
          <w:sz w:val="20"/>
          <w:szCs w:val="20"/>
          <w:lang w:val="cs-CZ"/>
        </w:rPr>
        <w:t>CEDEFOP, 2012)</w:t>
      </w:r>
      <w:r w:rsidR="00FF123A" w:rsidRPr="00797EA7">
        <w:rPr>
          <w:sz w:val="20"/>
          <w:szCs w:val="20"/>
          <w:lang w:val="cs-CZ"/>
        </w:rPr>
        <w:t>.</w:t>
      </w:r>
    </w:p>
    <w:p w:rsidR="00624F0A" w:rsidRPr="00797EA7" w:rsidRDefault="00624F0A" w:rsidP="00624F0A">
      <w:pPr>
        <w:rPr>
          <w:color w:val="FF0000"/>
          <w:lang w:val="cs-CZ"/>
        </w:rPr>
      </w:pPr>
    </w:p>
    <w:p w:rsidR="00B04D89" w:rsidRPr="00797EA7" w:rsidRDefault="00A46B5A">
      <w:p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"Každé pracovní místo může být potenciálně ekologičtější. Důležitým úkolem je začlenění udržitelného rozvoje a environmentálního povědomí do vzdělávání a odborné přípravy na všech úrovních, počínaje vzděláváním v raném dětství. Přispěje to ke změně chování spotřebitelů a k nastartování tržních sil, které budou prosazovat program ekologizace(...).  Zaměstnavatelé, kteří investují do nových technologií, musí být schopni najít pracovníky se správnou kvalifikací. Pracovníci a komunity, které ztratí práci v "hnědých" odvětvích, potřebují příležitosti k získání nových dovedností a zaměstnání" </w:t>
      </w:r>
      <w:r w:rsidR="00FB6D75" w:rsidRPr="00797EA7">
        <w:rPr>
          <w:rFonts w:cstheme="minorHAnsi"/>
          <w:lang w:val="cs-CZ"/>
        </w:rPr>
        <w:t>(</w:t>
      </w:r>
      <w:proofErr w:type="spellStart"/>
      <w:r w:rsidR="00FB6D75" w:rsidRPr="00797EA7">
        <w:rPr>
          <w:rFonts w:cstheme="minorHAnsi"/>
          <w:lang w:val="cs-CZ"/>
        </w:rPr>
        <w:t>Strietska-Ilina</w:t>
      </w:r>
      <w:proofErr w:type="spellEnd"/>
      <w:r w:rsidR="00FB6D75" w:rsidRPr="00797EA7">
        <w:rPr>
          <w:rFonts w:cstheme="minorHAnsi"/>
          <w:lang w:val="cs-CZ"/>
        </w:rPr>
        <w:t xml:space="preserve"> </w:t>
      </w:r>
      <w:proofErr w:type="gramStart"/>
      <w:r w:rsidR="00FB6D75" w:rsidRPr="00797EA7">
        <w:rPr>
          <w:rFonts w:cstheme="minorHAnsi"/>
          <w:i/>
          <w:iCs/>
          <w:lang w:val="cs-CZ"/>
        </w:rPr>
        <w:t xml:space="preserve">et al. </w:t>
      </w:r>
      <w:r w:rsidR="00FB6D75" w:rsidRPr="00797EA7">
        <w:rPr>
          <w:rFonts w:cstheme="minorHAnsi"/>
          <w:lang w:val="cs-CZ"/>
        </w:rPr>
        <w:t>,</w:t>
      </w:r>
      <w:proofErr w:type="gramEnd"/>
      <w:r w:rsidR="00FB6D75" w:rsidRPr="00797EA7">
        <w:rPr>
          <w:rFonts w:cstheme="minorHAnsi"/>
          <w:lang w:val="cs-CZ"/>
        </w:rPr>
        <w:t xml:space="preserve"> 2011)</w:t>
      </w:r>
      <w:r w:rsidRPr="00797EA7">
        <w:rPr>
          <w:rFonts w:cstheme="minorHAnsi"/>
          <w:lang w:val="cs-CZ"/>
        </w:rPr>
        <w:t xml:space="preserve">. </w:t>
      </w: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 xml:space="preserve">Rozměry, v nichž budou zapotřebí </w:t>
      </w:r>
      <w:r w:rsidR="0014102B" w:rsidRPr="00797EA7">
        <w:rPr>
          <w:lang w:val="cs-CZ"/>
        </w:rPr>
        <w:t xml:space="preserve">nové </w:t>
      </w:r>
      <w:r w:rsidRPr="00797EA7">
        <w:rPr>
          <w:lang w:val="cs-CZ"/>
        </w:rPr>
        <w:t xml:space="preserve">dovednosti, jsou již zřejmé </w:t>
      </w:r>
      <w:r w:rsidR="00FB6D75" w:rsidRPr="00797EA7">
        <w:rPr>
          <w:lang w:val="cs-CZ"/>
        </w:rPr>
        <w:t>(</w:t>
      </w:r>
      <w:proofErr w:type="spellStart"/>
      <w:r w:rsidR="00FB6D75" w:rsidRPr="00797EA7">
        <w:rPr>
          <w:rFonts w:cstheme="minorHAnsi"/>
          <w:lang w:val="cs-CZ"/>
        </w:rPr>
        <w:t>Strietska-Ilina</w:t>
      </w:r>
      <w:proofErr w:type="spellEnd"/>
      <w:r w:rsidR="00FB6D75" w:rsidRPr="00797EA7">
        <w:rPr>
          <w:rFonts w:cstheme="minorHAnsi"/>
          <w:lang w:val="cs-CZ"/>
        </w:rPr>
        <w:t xml:space="preserve"> </w:t>
      </w:r>
      <w:proofErr w:type="gramStart"/>
      <w:r w:rsidR="00FB6D75" w:rsidRPr="00797EA7">
        <w:rPr>
          <w:rFonts w:cstheme="minorHAnsi"/>
          <w:i/>
          <w:iCs/>
          <w:lang w:val="cs-CZ"/>
        </w:rPr>
        <w:t xml:space="preserve">et al. </w:t>
      </w:r>
      <w:r w:rsidR="00FB6D75" w:rsidRPr="00797EA7">
        <w:rPr>
          <w:rFonts w:cstheme="minorHAnsi"/>
          <w:lang w:val="cs-CZ"/>
        </w:rPr>
        <w:t>,</w:t>
      </w:r>
      <w:proofErr w:type="gramEnd"/>
      <w:r w:rsidR="00FB6D75" w:rsidRPr="00797EA7">
        <w:rPr>
          <w:rFonts w:cstheme="minorHAnsi"/>
          <w:lang w:val="cs-CZ"/>
        </w:rPr>
        <w:t xml:space="preserve"> 2011) </w:t>
      </w:r>
      <w:r w:rsidR="001A19D3" w:rsidRPr="00797EA7">
        <w:rPr>
          <w:lang w:val="cs-CZ"/>
        </w:rPr>
        <w:t xml:space="preserve">(Schéma </w:t>
      </w:r>
      <w:r w:rsidR="00877B5C" w:rsidRPr="00797EA7">
        <w:rPr>
          <w:lang w:val="cs-CZ"/>
        </w:rPr>
        <w:t>2)</w:t>
      </w:r>
      <w:r w:rsidRPr="00797EA7">
        <w:rPr>
          <w:lang w:val="cs-CZ"/>
        </w:rPr>
        <w:t>.</w:t>
      </w:r>
    </w:p>
    <w:p w:rsidR="000870E9" w:rsidRPr="00797EA7" w:rsidRDefault="000870E9" w:rsidP="00624F0A">
      <w:pPr>
        <w:rPr>
          <w:color w:val="FF0000"/>
          <w:lang w:val="cs-CZ"/>
        </w:rPr>
      </w:pPr>
    </w:p>
    <w:p w:rsidR="00B04D89" w:rsidRPr="00797EA7" w:rsidRDefault="00A46B5A">
      <w:pPr>
        <w:rPr>
          <w:lang w:val="cs-CZ"/>
        </w:rPr>
      </w:pPr>
      <w:r w:rsidRPr="00797EA7">
        <w:rPr>
          <w:b/>
          <w:bCs/>
          <w:color w:val="FF0000"/>
          <w:lang w:val="cs-CZ"/>
        </w:rPr>
        <w:br w:type="column"/>
      </w:r>
      <w:bookmarkStart w:id="6" w:name="_Toc109046989"/>
      <w:r w:rsidRPr="00797EA7">
        <w:rPr>
          <w:b/>
          <w:bCs/>
          <w:lang w:val="cs-CZ"/>
        </w:rPr>
        <w:lastRenderedPageBreak/>
        <w:t xml:space="preserve">Schéma </w:t>
      </w:r>
      <w:r w:rsidRPr="00797EA7">
        <w:rPr>
          <w:b/>
          <w:b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Scheme \* ARABIC </w:instrText>
      </w:r>
      <w:r w:rsidRPr="00797EA7">
        <w:rPr>
          <w:b/>
          <w:bCs/>
          <w:lang w:val="cs-CZ"/>
        </w:rPr>
        <w:fldChar w:fldCharType="separate"/>
      </w:r>
      <w:r w:rsidR="00877B5C" w:rsidRPr="00797EA7">
        <w:rPr>
          <w:b/>
          <w:bCs/>
          <w:lang w:val="cs-CZ"/>
        </w:rPr>
        <w:t>2</w:t>
      </w:r>
      <w:r w:rsidRPr="00797EA7">
        <w:rPr>
          <w:b/>
          <w:bCs/>
          <w:lang w:val="cs-CZ"/>
        </w:rPr>
        <w:fldChar w:fldCharType="end"/>
      </w:r>
      <w:r w:rsidRPr="00797EA7">
        <w:rPr>
          <w:b/>
          <w:bCs/>
          <w:lang w:val="cs-CZ"/>
        </w:rPr>
        <w:t xml:space="preserve">. </w:t>
      </w:r>
      <w:bookmarkEnd w:id="6"/>
      <w:r w:rsidR="00797EA7">
        <w:rPr>
          <w:lang w:val="cs-CZ"/>
        </w:rPr>
        <w:t>Dimenze ekonomiky, kde budou nové dovednosti potřebné</w:t>
      </w:r>
    </w:p>
    <w:p w:rsidR="00B04D89" w:rsidRPr="00797EA7" w:rsidRDefault="00A46B5A">
      <w:pPr>
        <w:jc w:val="center"/>
        <w:rPr>
          <w:rFonts w:ascii="Times New Roman" w:eastAsia="Times New Roman" w:hAnsi="Times New Roman" w:cs="Times New Roman"/>
          <w:lang w:val="cs-CZ" w:eastAsia="pl-PL"/>
        </w:rPr>
      </w:pPr>
      <w:r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936A4B" wp14:editId="28B65361">
                <wp:simplePos x="0" y="0"/>
                <wp:positionH relativeFrom="margin">
                  <wp:posOffset>847347</wp:posOffset>
                </wp:positionH>
                <wp:positionV relativeFrom="paragraph">
                  <wp:posOffset>65196</wp:posOffset>
                </wp:positionV>
                <wp:extent cx="1879600" cy="1926638"/>
                <wp:effectExtent l="0" t="0" r="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926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B312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1) Znalosti </w:t>
                            </w:r>
                            <w:r w:rsidRPr="00BB312C">
                              <w:rPr>
                                <w:color w:val="FFFFFF" w:themeColor="background1"/>
                              </w:rPr>
                              <w:t xml:space="preserve">- zahrnují technické znalosti v určitém oboru a také znalosti například o předpisech v oblasti životního prostředí a výrobních </w:t>
                            </w:r>
                            <w:r w:rsidRPr="000A2D30">
                              <w:rPr>
                                <w:color w:val="FFFFFF" w:themeColor="background1"/>
                              </w:rPr>
                              <w:t xml:space="preserve">procesech </w:t>
                            </w:r>
                            <w:r w:rsidRPr="00BB312C">
                              <w:rPr>
                                <w:color w:val="FFFFFF" w:themeColor="background1"/>
                              </w:rPr>
                              <w:t xml:space="preserve">účinně využívajících zdroje </w:t>
                            </w:r>
                            <w:proofErr w:type="gramStart"/>
                            <w:r w:rsidRPr="000A2D30">
                              <w:rPr>
                                <w:color w:val="FFFFFF" w:themeColor="background1"/>
                              </w:rPr>
                              <w:t>a</w:t>
                            </w:r>
                            <w:proofErr w:type="gramEnd"/>
                            <w:r w:rsidRPr="000A2D30">
                              <w:rPr>
                                <w:color w:val="FFFFFF" w:themeColor="background1"/>
                              </w:rPr>
                              <w:t xml:space="preserve"> obecné povědomí o životním prostředí;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6A4B" id="_x0000_s1031" type="#_x0000_t202" style="position:absolute;left:0;text-align:left;margin-left:66.7pt;margin-top:5.15pt;width:148pt;height:151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B312C">
                        <w:rPr>
                          <w:b/>
                          <w:bCs/>
                          <w:color w:val="FFFFFF" w:themeColor="background1"/>
                        </w:rPr>
                        <w:t xml:space="preserve">1) Znalosti </w:t>
                      </w:r>
                      <w:r w:rsidRPr="00BB312C">
                        <w:rPr>
                          <w:color w:val="FFFFFF" w:themeColor="background1"/>
                        </w:rPr>
                        <w:t xml:space="preserve">- zahrnují technické znalosti v určitém oboru a také znalosti například o předpisech v oblasti životního prostředí a výrobních </w:t>
                      </w:r>
                      <w:r w:rsidRPr="000A2D30">
                        <w:rPr>
                          <w:color w:val="FFFFFF" w:themeColor="background1"/>
                        </w:rPr>
                        <w:t xml:space="preserve">procesech </w:t>
                      </w:r>
                      <w:r w:rsidRPr="00BB312C">
                        <w:rPr>
                          <w:color w:val="FFFFFF" w:themeColor="background1"/>
                        </w:rPr>
                        <w:t xml:space="preserve">účinně využívajících zdroje </w:t>
                      </w:r>
                      <w:proofErr w:type="gramStart"/>
                      <w:r w:rsidRPr="000A2D30"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 w:rsidRPr="000A2D30">
                        <w:rPr>
                          <w:color w:val="FFFFFF" w:themeColor="background1"/>
                        </w:rPr>
                        <w:t xml:space="preserve"> obecné povědomí o životním prostředí;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09B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3FE47A" wp14:editId="0D53BCC0">
                <wp:simplePos x="0" y="0"/>
                <wp:positionH relativeFrom="margin">
                  <wp:posOffset>2987343</wp:posOffset>
                </wp:positionH>
                <wp:positionV relativeFrom="paragraph">
                  <wp:posOffset>2673957</wp:posOffset>
                </wp:positionV>
                <wp:extent cx="1879600" cy="1236980"/>
                <wp:effectExtent l="0" t="0" r="0" b="127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2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C3F9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4) Výroba ekologického </w:t>
                            </w:r>
                            <w:proofErr w:type="gramStart"/>
                            <w:r w:rsidRPr="002C3F9F">
                              <w:rPr>
                                <w:color w:val="FFFFFF" w:themeColor="background1"/>
                              </w:rPr>
                              <w:t>a</w:t>
                            </w:r>
                            <w:proofErr w:type="gramEnd"/>
                            <w:r w:rsidRPr="002C3F9F">
                              <w:rPr>
                                <w:color w:val="FFFFFF" w:themeColor="background1"/>
                              </w:rPr>
                              <w:t xml:space="preserve"> ekologicky šetrného </w:t>
                            </w:r>
                            <w:r w:rsidRPr="002C3F9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zboží </w:t>
                            </w:r>
                            <w:r w:rsidRPr="002C3F9F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 w:rsidRPr="002C3F9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služeb;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E47A" id="_x0000_s1032" type="#_x0000_t202" style="position:absolute;left:0;text-align:left;margin-left:235.2pt;margin-top:210.55pt;width:148pt;height:97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C3F9F">
                        <w:rPr>
                          <w:b/>
                          <w:bCs/>
                          <w:color w:val="FFFFFF" w:themeColor="background1"/>
                        </w:rPr>
                        <w:t xml:space="preserve">4) Výroba ekologického </w:t>
                      </w:r>
                      <w:proofErr w:type="gramStart"/>
                      <w:r w:rsidRPr="002C3F9F"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 w:rsidRPr="002C3F9F">
                        <w:rPr>
                          <w:color w:val="FFFFFF" w:themeColor="background1"/>
                        </w:rPr>
                        <w:t xml:space="preserve"> ekologicky šetrného </w:t>
                      </w:r>
                      <w:r w:rsidRPr="002C3F9F">
                        <w:rPr>
                          <w:b/>
                          <w:bCs/>
                          <w:color w:val="FFFFFF" w:themeColor="background1"/>
                        </w:rPr>
                        <w:t xml:space="preserve">zboží </w:t>
                      </w:r>
                      <w:r w:rsidRPr="002C3F9F">
                        <w:rPr>
                          <w:color w:val="FFFFFF" w:themeColor="background1"/>
                        </w:rPr>
                        <w:t xml:space="preserve">a </w:t>
                      </w:r>
                      <w:r w:rsidRPr="002C3F9F">
                        <w:rPr>
                          <w:b/>
                          <w:bCs/>
                          <w:color w:val="FFFFFF" w:themeColor="background1"/>
                        </w:rPr>
                        <w:t>služeb;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09B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B4A3C7" wp14:editId="16B887F2">
                <wp:simplePos x="0" y="0"/>
                <wp:positionH relativeFrom="margin">
                  <wp:posOffset>856588</wp:posOffset>
                </wp:positionH>
                <wp:positionV relativeFrom="paragraph">
                  <wp:posOffset>2674040</wp:posOffset>
                </wp:positionV>
                <wp:extent cx="1879600" cy="1276736"/>
                <wp:effectExtent l="0" t="0" r="0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276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C3F9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3) Porozumění udržitelným </w:t>
                            </w:r>
                            <w:r w:rsidRPr="002C3F9F">
                              <w:rPr>
                                <w:color w:val="FFFFFF" w:themeColor="background1"/>
                              </w:rPr>
                              <w:t xml:space="preserve">(nebo zakázaným) </w:t>
                            </w:r>
                            <w:r w:rsidRPr="002C3F9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materiálům </w:t>
                            </w:r>
                            <w:r w:rsidRPr="002C3F9F">
                              <w:rPr>
                                <w:color w:val="FFFFFF" w:themeColor="background1"/>
                              </w:rPr>
                              <w:t>a způsobu jejich výroby a zacházení s nimi;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A3C7" id="_x0000_s1033" type="#_x0000_t202" style="position:absolute;left:0;text-align:left;margin-left:67.45pt;margin-top:210.55pt;width:148pt;height:10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C3F9F">
                        <w:rPr>
                          <w:b/>
                          <w:bCs/>
                          <w:color w:val="FFFFFF" w:themeColor="background1"/>
                        </w:rPr>
                        <w:t xml:space="preserve">3) Porozumění udržitelným </w:t>
                      </w:r>
                      <w:r w:rsidRPr="002C3F9F">
                        <w:rPr>
                          <w:color w:val="FFFFFF" w:themeColor="background1"/>
                        </w:rPr>
                        <w:t xml:space="preserve">(nebo zakázaným) </w:t>
                      </w:r>
                      <w:r w:rsidRPr="002C3F9F">
                        <w:rPr>
                          <w:b/>
                          <w:bCs/>
                          <w:color w:val="FFFFFF" w:themeColor="background1"/>
                        </w:rPr>
                        <w:t xml:space="preserve">materiálům </w:t>
                      </w:r>
                      <w:r w:rsidRPr="002C3F9F">
                        <w:rPr>
                          <w:color w:val="FFFFFF" w:themeColor="background1"/>
                        </w:rPr>
                        <w:t>a způsobu jejich výroby a zacházení s nimi;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8E6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7F0B36" wp14:editId="21715AB8">
                <wp:simplePos x="0" y="0"/>
                <wp:positionH relativeFrom="margin">
                  <wp:posOffset>3011170</wp:posOffset>
                </wp:positionH>
                <wp:positionV relativeFrom="paragraph">
                  <wp:posOffset>354965</wp:posOffset>
                </wp:positionV>
                <wp:extent cx="1879600" cy="1390650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B312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2) Nástroje </w:t>
                            </w:r>
                            <w:r w:rsidRPr="00BB312C">
                              <w:rPr>
                                <w:color w:val="FFFFFF" w:themeColor="background1"/>
                              </w:rPr>
                              <w:t xml:space="preserve">a stroje </w:t>
                            </w:r>
                            <w:r w:rsidRPr="00BB312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šetrné k životnímu prostředí </w:t>
                            </w:r>
                            <w:proofErr w:type="gramStart"/>
                            <w:r w:rsidRPr="00BB312C">
                              <w:rPr>
                                <w:color w:val="FFFFFF" w:themeColor="background1"/>
                              </w:rPr>
                              <w:t>a</w:t>
                            </w:r>
                            <w:proofErr w:type="gramEnd"/>
                            <w:r w:rsidRPr="00BB312C">
                              <w:rPr>
                                <w:color w:val="FFFFFF" w:themeColor="background1"/>
                              </w:rPr>
                              <w:t xml:space="preserve"> ekologický technologický vývoj;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0B36" id="_x0000_s1034" type="#_x0000_t202" style="position:absolute;left:0;text-align:left;margin-left:237.1pt;margin-top:27.95pt;width:148pt;height:10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B312C">
                        <w:rPr>
                          <w:b/>
                          <w:bCs/>
                          <w:color w:val="FFFFFF" w:themeColor="background1"/>
                        </w:rPr>
                        <w:t xml:space="preserve">2) Nástroje </w:t>
                      </w:r>
                      <w:r w:rsidRPr="00BB312C">
                        <w:rPr>
                          <w:color w:val="FFFFFF" w:themeColor="background1"/>
                        </w:rPr>
                        <w:t xml:space="preserve">a stroje </w:t>
                      </w:r>
                      <w:r w:rsidRPr="00BB312C">
                        <w:rPr>
                          <w:b/>
                          <w:bCs/>
                          <w:color w:val="FFFFFF" w:themeColor="background1"/>
                        </w:rPr>
                        <w:t xml:space="preserve">šetrné k životnímu prostředí </w:t>
                      </w:r>
                      <w:proofErr w:type="gramStart"/>
                      <w:r w:rsidRPr="00BB312C"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 w:rsidRPr="00BB312C">
                        <w:rPr>
                          <w:color w:val="FFFFFF" w:themeColor="background1"/>
                        </w:rPr>
                        <w:t xml:space="preserve"> ekologický technologický vývoj;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8E6" w:rsidRPr="00797EA7">
        <w:rPr>
          <w:noProof/>
          <w:lang w:val="cs-CZ"/>
        </w:rPr>
        <w:drawing>
          <wp:inline distT="0" distB="0" distL="0" distR="0" wp14:anchorId="097C08D4" wp14:editId="1F550E2A">
            <wp:extent cx="4279900" cy="4152900"/>
            <wp:effectExtent l="0" t="0" r="6350" b="0"/>
            <wp:docPr id="8" name="Obraz 8" descr="Obraz zawierający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budy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89" w:rsidRPr="00797EA7" w:rsidRDefault="00A46B5A">
      <w:pPr>
        <w:jc w:val="both"/>
        <w:rPr>
          <w:iCs/>
          <w:sz w:val="20"/>
          <w:szCs w:val="20"/>
          <w:lang w:val="cs-CZ"/>
        </w:rPr>
      </w:pPr>
      <w:r w:rsidRPr="00797EA7">
        <w:rPr>
          <w:sz w:val="20"/>
          <w:szCs w:val="20"/>
          <w:lang w:val="cs-CZ"/>
        </w:rPr>
        <w:t xml:space="preserve">Zdroj: </w:t>
      </w:r>
      <w:r w:rsidRPr="00797EA7">
        <w:rPr>
          <w:rFonts w:cstheme="minorHAnsi"/>
          <w:sz w:val="20"/>
          <w:szCs w:val="20"/>
          <w:lang w:val="cs-CZ"/>
        </w:rPr>
        <w:t xml:space="preserve">vlastní zpracování na základě: </w:t>
      </w:r>
      <w:r w:rsidR="00FC78BC" w:rsidRPr="00797EA7">
        <w:rPr>
          <w:rFonts w:cstheme="minorHAnsi"/>
          <w:sz w:val="20"/>
          <w:szCs w:val="20"/>
          <w:lang w:val="cs-CZ"/>
        </w:rPr>
        <w:t>(</w:t>
      </w:r>
      <w:proofErr w:type="spellStart"/>
      <w:r w:rsidRPr="00797EA7">
        <w:rPr>
          <w:rFonts w:cstheme="minorHAnsi"/>
          <w:sz w:val="20"/>
          <w:szCs w:val="20"/>
          <w:lang w:val="cs-CZ"/>
        </w:rPr>
        <w:t>Strietska-Ilina</w:t>
      </w:r>
      <w:proofErr w:type="spellEnd"/>
      <w:r w:rsidRPr="00797EA7">
        <w:rPr>
          <w:rFonts w:cstheme="minorHAnsi"/>
          <w:sz w:val="20"/>
          <w:szCs w:val="20"/>
          <w:lang w:val="cs-CZ"/>
        </w:rPr>
        <w:t xml:space="preserve">, </w:t>
      </w:r>
      <w:proofErr w:type="gramStart"/>
      <w:r w:rsidR="00FC78BC" w:rsidRPr="00797EA7">
        <w:rPr>
          <w:rFonts w:cstheme="minorHAnsi"/>
          <w:i/>
          <w:iCs/>
          <w:sz w:val="20"/>
          <w:szCs w:val="20"/>
          <w:lang w:val="cs-CZ"/>
        </w:rPr>
        <w:t xml:space="preserve">et al. </w:t>
      </w:r>
      <w:r w:rsidR="00FC78BC" w:rsidRPr="00797EA7">
        <w:rPr>
          <w:rFonts w:cstheme="minorHAnsi"/>
          <w:sz w:val="20"/>
          <w:szCs w:val="20"/>
          <w:lang w:val="cs-CZ"/>
        </w:rPr>
        <w:t>,</w:t>
      </w:r>
      <w:proofErr w:type="gramEnd"/>
      <w:r w:rsidR="00FC78BC" w:rsidRPr="00797EA7">
        <w:rPr>
          <w:rFonts w:cstheme="minorHAnsi"/>
          <w:sz w:val="20"/>
          <w:szCs w:val="20"/>
          <w:lang w:val="cs-CZ"/>
        </w:rPr>
        <w:t xml:space="preserve"> </w:t>
      </w:r>
      <w:r w:rsidRPr="00797EA7">
        <w:rPr>
          <w:rFonts w:cstheme="minorHAnsi"/>
          <w:sz w:val="20"/>
          <w:szCs w:val="20"/>
          <w:lang w:val="cs-CZ"/>
        </w:rPr>
        <w:t>2011).</w:t>
      </w:r>
    </w:p>
    <w:p w:rsidR="008A142E" w:rsidRPr="00797EA7" w:rsidRDefault="008A142E" w:rsidP="008A142E">
      <w:pPr>
        <w:rPr>
          <w:rFonts w:ascii="Times New Roman" w:eastAsia="Times New Roman" w:hAnsi="Times New Roman" w:cs="Times New Roman"/>
          <w:lang w:val="cs-CZ" w:eastAsia="pl-PL"/>
        </w:rPr>
      </w:pPr>
    </w:p>
    <w:p w:rsidR="00B04D89" w:rsidRPr="00797EA7" w:rsidRDefault="00A46B5A">
      <w:pPr>
        <w:rPr>
          <w:lang w:val="cs-CZ"/>
        </w:rPr>
      </w:pPr>
      <w:r w:rsidRPr="00797EA7">
        <w:rPr>
          <w:lang w:val="cs-CZ"/>
        </w:rPr>
        <w:t xml:space="preserve">Nové dovednosti lze rozdělit do tří kategorií </w:t>
      </w:r>
      <w:r w:rsidR="00FB6D75" w:rsidRPr="00797EA7">
        <w:rPr>
          <w:lang w:val="cs-CZ"/>
        </w:rPr>
        <w:t xml:space="preserve">(OECD, 2010): </w:t>
      </w:r>
    </w:p>
    <w:p w:rsidR="00B04D89" w:rsidRPr="00797EA7" w:rsidRDefault="00A46B5A">
      <w:pPr>
        <w:pStyle w:val="Odstavecseseznamem"/>
        <w:numPr>
          <w:ilvl w:val="0"/>
          <w:numId w:val="33"/>
        </w:numPr>
        <w:rPr>
          <w:lang w:val="cs-CZ"/>
        </w:rPr>
      </w:pPr>
      <w:r w:rsidRPr="00797EA7">
        <w:rPr>
          <w:b/>
          <w:bCs/>
          <w:lang w:val="cs-CZ"/>
        </w:rPr>
        <w:t xml:space="preserve">Základní </w:t>
      </w:r>
      <w:r w:rsidR="00797EA7" w:rsidRPr="00797EA7">
        <w:rPr>
          <w:b/>
          <w:bCs/>
          <w:lang w:val="cs-CZ"/>
        </w:rPr>
        <w:t xml:space="preserve">dovednosti </w:t>
      </w:r>
      <w:r w:rsidR="00797EA7" w:rsidRPr="00797EA7">
        <w:rPr>
          <w:lang w:val="cs-CZ"/>
        </w:rPr>
        <w:t>– jedná</w:t>
      </w:r>
      <w:r w:rsidR="007019E9" w:rsidRPr="00797EA7">
        <w:rPr>
          <w:lang w:val="cs-CZ"/>
        </w:rPr>
        <w:t xml:space="preserve"> se o </w:t>
      </w:r>
      <w:r w:rsidRPr="00797EA7">
        <w:rPr>
          <w:lang w:val="cs-CZ"/>
        </w:rPr>
        <w:t xml:space="preserve">obecnější a rutinní dovednosti, které se vyskytují ve většině průmyslových odvětví a organizací. </w:t>
      </w:r>
    </w:p>
    <w:p w:rsidR="00B04D89" w:rsidRPr="00797EA7" w:rsidRDefault="00A46B5A">
      <w:pPr>
        <w:pStyle w:val="Odstavecseseznamem"/>
        <w:numPr>
          <w:ilvl w:val="0"/>
          <w:numId w:val="33"/>
        </w:numPr>
        <w:rPr>
          <w:lang w:val="cs-CZ"/>
        </w:rPr>
      </w:pPr>
      <w:r w:rsidRPr="00797EA7">
        <w:rPr>
          <w:b/>
          <w:bCs/>
          <w:lang w:val="cs-CZ"/>
        </w:rPr>
        <w:t xml:space="preserve">Pokročilé </w:t>
      </w:r>
      <w:r w:rsidR="00797EA7" w:rsidRPr="00797EA7">
        <w:rPr>
          <w:b/>
          <w:bCs/>
          <w:lang w:val="cs-CZ"/>
        </w:rPr>
        <w:t xml:space="preserve">dovednosti </w:t>
      </w:r>
      <w:r w:rsidR="00797EA7" w:rsidRPr="00797EA7">
        <w:rPr>
          <w:lang w:val="cs-CZ"/>
        </w:rPr>
        <w:t>– které</w:t>
      </w:r>
      <w:r w:rsidR="007019E9" w:rsidRPr="00797EA7">
        <w:rPr>
          <w:lang w:val="cs-CZ"/>
        </w:rPr>
        <w:t xml:space="preserve"> </w:t>
      </w:r>
      <w:r w:rsidRPr="00797EA7">
        <w:rPr>
          <w:lang w:val="cs-CZ"/>
        </w:rPr>
        <w:t>mají vyšší složku náročnosti na znalosti a lze je nalézt v technických profesích a na manažerských pozicích</w:t>
      </w:r>
      <w:r w:rsidR="007019E9" w:rsidRPr="00797EA7">
        <w:rPr>
          <w:lang w:val="cs-CZ"/>
        </w:rPr>
        <w:t xml:space="preserve">. Tyto dovednosti </w:t>
      </w:r>
      <w:r w:rsidRPr="00797EA7">
        <w:rPr>
          <w:lang w:val="cs-CZ"/>
        </w:rPr>
        <w:t xml:space="preserve">se </w:t>
      </w:r>
      <w:r w:rsidR="007019E9" w:rsidRPr="00797EA7">
        <w:rPr>
          <w:lang w:val="cs-CZ"/>
        </w:rPr>
        <w:t xml:space="preserve">mohou týkat </w:t>
      </w:r>
      <w:r w:rsidRPr="00797EA7">
        <w:rPr>
          <w:lang w:val="cs-CZ"/>
        </w:rPr>
        <w:t xml:space="preserve">také sociálních a komunikačních dovedností </w:t>
      </w:r>
      <w:r w:rsidR="007019E9" w:rsidRPr="00797EA7">
        <w:rPr>
          <w:lang w:val="cs-CZ"/>
        </w:rPr>
        <w:t>(</w:t>
      </w:r>
      <w:r w:rsidRPr="00797EA7">
        <w:rPr>
          <w:lang w:val="cs-CZ"/>
        </w:rPr>
        <w:t>potřebných pro týmovou práci</w:t>
      </w:r>
      <w:r w:rsidR="007019E9" w:rsidRPr="00797EA7">
        <w:rPr>
          <w:lang w:val="cs-CZ"/>
        </w:rPr>
        <w:t xml:space="preserve">) </w:t>
      </w:r>
      <w:r w:rsidRPr="00797EA7">
        <w:rPr>
          <w:lang w:val="cs-CZ"/>
        </w:rPr>
        <w:t xml:space="preserve">a specifických jazykových a kulturních dovedností </w:t>
      </w:r>
      <w:r w:rsidR="007019E9" w:rsidRPr="00797EA7">
        <w:rPr>
          <w:lang w:val="cs-CZ"/>
        </w:rPr>
        <w:t xml:space="preserve">(potřebných </w:t>
      </w:r>
      <w:r w:rsidRPr="00797EA7">
        <w:rPr>
          <w:lang w:val="cs-CZ"/>
        </w:rPr>
        <w:t>v multikulturním pracovním prostředí</w:t>
      </w:r>
      <w:r w:rsidR="007019E9" w:rsidRPr="00797EA7">
        <w:rPr>
          <w:lang w:val="cs-CZ"/>
        </w:rPr>
        <w:t>)</w:t>
      </w:r>
      <w:r w:rsidRPr="00797EA7">
        <w:rPr>
          <w:lang w:val="cs-CZ"/>
        </w:rPr>
        <w:t xml:space="preserve">. </w:t>
      </w:r>
    </w:p>
    <w:p w:rsidR="00B04D89" w:rsidRPr="00797EA7" w:rsidRDefault="00A46B5A">
      <w:pPr>
        <w:pStyle w:val="Odstavecseseznamem"/>
        <w:numPr>
          <w:ilvl w:val="0"/>
          <w:numId w:val="33"/>
        </w:numPr>
        <w:rPr>
          <w:lang w:val="cs-CZ"/>
        </w:rPr>
      </w:pPr>
      <w:r w:rsidRPr="00797EA7">
        <w:rPr>
          <w:b/>
          <w:bCs/>
          <w:lang w:val="cs-CZ"/>
        </w:rPr>
        <w:t xml:space="preserve">Konvergující </w:t>
      </w:r>
      <w:r w:rsidR="00797EA7" w:rsidRPr="00797EA7">
        <w:rPr>
          <w:b/>
          <w:bCs/>
          <w:lang w:val="cs-CZ"/>
        </w:rPr>
        <w:t xml:space="preserve">dovednosti </w:t>
      </w:r>
      <w:r w:rsidR="00797EA7" w:rsidRPr="00797EA7">
        <w:rPr>
          <w:lang w:val="cs-CZ"/>
        </w:rPr>
        <w:t>– které</w:t>
      </w:r>
      <w:r w:rsidR="000E1502" w:rsidRPr="00797EA7">
        <w:rPr>
          <w:lang w:val="cs-CZ"/>
        </w:rPr>
        <w:t xml:space="preserve"> </w:t>
      </w:r>
      <w:r w:rsidRPr="00797EA7">
        <w:rPr>
          <w:lang w:val="cs-CZ"/>
        </w:rPr>
        <w:t xml:space="preserve">vyžadují několik dalších </w:t>
      </w:r>
      <w:r w:rsidR="00797EA7" w:rsidRPr="00797EA7">
        <w:rPr>
          <w:lang w:val="cs-CZ"/>
        </w:rPr>
        <w:t>dovedností,</w:t>
      </w:r>
      <w:r w:rsidRPr="00797EA7">
        <w:rPr>
          <w:lang w:val="cs-CZ"/>
        </w:rPr>
        <w:t xml:space="preserve"> a navíc dovednosti specifické pro podnikání nebo pro přizpůsobení se ekologické transformaci pracovních míst či dokonce novým zeleným pracovním místům</w:t>
      </w:r>
      <w:r w:rsidR="000E1502" w:rsidRPr="00797EA7">
        <w:rPr>
          <w:lang w:val="cs-CZ"/>
        </w:rPr>
        <w:t>.</w:t>
      </w:r>
    </w:p>
    <w:p w:rsidR="0086192D" w:rsidRPr="00797EA7" w:rsidRDefault="0086192D" w:rsidP="0086192D">
      <w:pPr>
        <w:rPr>
          <w:color w:val="FF0000"/>
          <w:lang w:val="cs-CZ"/>
        </w:rPr>
      </w:pPr>
    </w:p>
    <w:p w:rsidR="00B04D89" w:rsidRPr="00797EA7" w:rsidRDefault="00A46B5A">
      <w:pPr>
        <w:spacing w:after="12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Zelené dovednosti jsou </w:t>
      </w:r>
      <w:r w:rsidRPr="00797EA7">
        <w:rPr>
          <w:rFonts w:eastAsiaTheme="minorEastAsia" w:cstheme="minorHAnsi"/>
          <w:lang w:val="cs-CZ"/>
        </w:rPr>
        <w:t xml:space="preserve">vnímány jako tři dimenze, které se dělí na kognitivní, psychomotorickou a afektivní </w:t>
      </w:r>
      <w:r w:rsidR="00FB6D75" w:rsidRPr="00797EA7">
        <w:rPr>
          <w:rFonts w:eastAsiaTheme="minorEastAsia" w:cstheme="minorHAnsi"/>
          <w:lang w:val="cs-CZ"/>
        </w:rPr>
        <w:t>(</w:t>
      </w:r>
      <w:proofErr w:type="spellStart"/>
      <w:r w:rsidR="00FB6D75" w:rsidRPr="00797EA7">
        <w:rPr>
          <w:rFonts w:eastAsiaTheme="minorEastAsia" w:cstheme="minorHAnsi"/>
          <w:lang w:val="cs-CZ"/>
        </w:rPr>
        <w:t>Sern</w:t>
      </w:r>
      <w:proofErr w:type="spellEnd"/>
      <w:r w:rsidR="00FB6D75" w:rsidRPr="00797EA7">
        <w:rPr>
          <w:rFonts w:eastAsiaTheme="minorEastAsia" w:cstheme="minorHAnsi"/>
          <w:lang w:val="cs-CZ"/>
        </w:rPr>
        <w:t>, 2018)</w:t>
      </w:r>
      <w:r w:rsidRPr="00797EA7">
        <w:rPr>
          <w:rFonts w:eastAsiaTheme="minorEastAsia" w:cstheme="minorHAnsi"/>
          <w:lang w:val="cs-CZ"/>
        </w:rPr>
        <w:t>. Podpora udržitelného rozvoje v rámci těchto tří dimenzí zahrnuje znalosti, schopnosti (dovednosti) a hodnoty (postoje).</w:t>
      </w:r>
    </w:p>
    <w:p w:rsidR="00B04D89" w:rsidRPr="00797EA7" w:rsidRDefault="00A46B5A">
      <w:pPr>
        <w:spacing w:after="20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lang w:val="cs-CZ"/>
        </w:rPr>
        <w:t xml:space="preserve">Pojem ekologické dovednosti je definován různě. </w:t>
      </w:r>
      <w:r w:rsidR="002F5B36" w:rsidRPr="00797EA7">
        <w:rPr>
          <w:rFonts w:eastAsiaTheme="minorEastAsia" w:cstheme="minorHAnsi"/>
          <w:lang w:val="cs-CZ"/>
        </w:rPr>
        <w:t xml:space="preserve">Mnohé z nich zdůrazňují pouze prvky související s ekonomikou, ačkoli existují i definice, v nichž autoři upozorňují na kombinaci různých oblastí lidského fungování, a to nejen v jejich profesním, ale i sociálním rozměru. </w:t>
      </w:r>
      <w:r w:rsidR="00572A6B" w:rsidRPr="00797EA7">
        <w:rPr>
          <w:rFonts w:eastAsiaTheme="minorEastAsia" w:cstheme="minorHAnsi"/>
          <w:lang w:val="cs-CZ"/>
        </w:rPr>
        <w:t xml:space="preserve">Schéma </w:t>
      </w:r>
      <w:r w:rsidR="00877B5C" w:rsidRPr="00797EA7">
        <w:rPr>
          <w:rFonts w:eastAsiaTheme="minorEastAsia" w:cstheme="minorHAnsi"/>
          <w:lang w:val="cs-CZ"/>
        </w:rPr>
        <w:t xml:space="preserve">3 </w:t>
      </w:r>
      <w:r w:rsidR="00572A6B" w:rsidRPr="00797EA7">
        <w:rPr>
          <w:rFonts w:eastAsiaTheme="minorEastAsia" w:cstheme="minorHAnsi"/>
          <w:lang w:val="cs-CZ"/>
        </w:rPr>
        <w:t xml:space="preserve">představuje vybrané definice zelených dovedností. </w:t>
      </w:r>
    </w:p>
    <w:p w:rsidR="00B04D89" w:rsidRPr="00797EA7" w:rsidRDefault="00A46B5A">
      <w:pPr>
        <w:pStyle w:val="Titulek"/>
        <w:rPr>
          <w:rFonts w:eastAsiaTheme="minorEastAsia" w:cstheme="minorHAnsi"/>
          <w:b/>
          <w:bCs/>
          <w:i w:val="0"/>
          <w:iCs w:val="0"/>
          <w:color w:val="auto"/>
          <w:sz w:val="30"/>
          <w:szCs w:val="30"/>
          <w:lang w:val="cs-CZ"/>
        </w:rPr>
      </w:pPr>
      <w:bookmarkStart w:id="7" w:name="_Toc109046990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br w:type="column"/>
      </w:r>
      <w:r w:rsidR="00572A6B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lastRenderedPageBreak/>
        <w:t xml:space="preserve">Schéma </w:t>
      </w:r>
      <w:r w:rsidR="00572A6B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="00572A6B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Scheme \* ARABIC </w:instrText>
      </w:r>
      <w:r w:rsidR="00572A6B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877B5C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3</w:t>
      </w:r>
      <w:r w:rsidR="00572A6B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="00B6042A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. </w:t>
      </w:r>
      <w:r w:rsidR="00B6042A" w:rsidRPr="00797EA7">
        <w:rPr>
          <w:rFonts w:eastAsiaTheme="minorEastAsia" w:cstheme="minorHAnsi"/>
          <w:i w:val="0"/>
          <w:iCs w:val="0"/>
          <w:color w:val="auto"/>
          <w:sz w:val="24"/>
          <w:szCs w:val="24"/>
          <w:lang w:val="cs-CZ"/>
        </w:rPr>
        <w:t>Vybrané definice zelených dovedností</w:t>
      </w:r>
      <w:bookmarkEnd w:id="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3"/>
        <w:gridCol w:w="3018"/>
      </w:tblGrid>
      <w:tr w:rsidR="00631B37" w:rsidRPr="00797EA7" w:rsidTr="006B00AE">
        <w:tc>
          <w:tcPr>
            <w:tcW w:w="22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b/>
                <w:bCs/>
                <w:sz w:val="20"/>
                <w:szCs w:val="20"/>
                <w:lang w:val="cs-CZ"/>
              </w:rPr>
              <w:t>Autor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b/>
                <w:bCs/>
                <w:sz w:val="20"/>
                <w:szCs w:val="20"/>
                <w:lang w:val="cs-CZ"/>
              </w:rPr>
              <w:t>Definice</w:t>
            </w:r>
          </w:p>
        </w:tc>
        <w:tc>
          <w:tcPr>
            <w:tcW w:w="30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b/>
                <w:bCs/>
                <w:sz w:val="20"/>
                <w:szCs w:val="20"/>
                <w:lang w:val="cs-CZ"/>
              </w:rPr>
              <w:t>Diferenciátor</w:t>
            </w:r>
          </w:p>
        </w:tc>
      </w:tr>
      <w:tr w:rsidR="00631B37" w:rsidRPr="00797EA7" w:rsidTr="006B00AE">
        <w:tc>
          <w:tcPr>
            <w:tcW w:w="22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 xml:space="preserve">Rada australských </w:t>
            </w:r>
            <w:proofErr w:type="gramStart"/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vlád - COAG</w:t>
            </w:r>
            <w:proofErr w:type="gramEnd"/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, (2009)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04368C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Zelené dovednosti, známé také jako dovednosti pro udržitelnost, jsou technické dovednosti, znalosti, hodnoty a postoje potřebné pro rozvoj a podporu udržitelných sociálních, ekonomických a environmentálních výsledků v podnikání, průmyslu a komunitě</w:t>
            </w:r>
            <w:r w:rsidR="006B00AE"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dovednosti potřebné k rozvoji a podpoře udržitelných sociálních, ekonomických a environmentálních výsledků</w:t>
            </w:r>
            <w:r w:rsidR="00E552D1"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.</w:t>
            </w:r>
          </w:p>
        </w:tc>
      </w:tr>
      <w:tr w:rsidR="00631B37" w:rsidRPr="00797EA7" w:rsidTr="006B00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 xml:space="preserve">OECD/CEDEFOP, </w:t>
            </w:r>
            <w:r w:rsidRPr="00797EA7">
              <w:rPr>
                <w:rFonts w:cstheme="minorHAnsi"/>
                <w:sz w:val="20"/>
                <w:szCs w:val="20"/>
                <w:lang w:val="cs-CZ"/>
              </w:rPr>
              <w:t>(2014)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C41AD5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Zelené dovednosti lze definovat jako dovednosti, které potřebují pracovníci ve všech odvětvích a na všech úrovních, aby pomohli přizpůsobit výrobky, služby a procesy změnám způsobeným změnou klimatu a environmentálním požadavkům a regulacím.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Dovednosti potřebné pro pracovní sílu ve všech odvětvích a na všech úrovních.</w:t>
            </w:r>
          </w:p>
        </w:tc>
      </w:tr>
      <w:tr w:rsidR="00631B37" w:rsidRPr="00797EA7" w:rsidTr="006B00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Charles Arthur, (2021)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 xml:space="preserve">Zelené </w:t>
            </w:r>
            <w:r w:rsidR="00C41AD5"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dovednosti jsou znalosti, schopnosti, hodnoty a postoje potřebné pro život v udržitelné společnosti, její rozvoj a podporu, která účinně využívá zdroje.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Dovednosti potřebné pro život v udržitelné společnosti, její rozvoj a podporu, která účinně využívá zdroje.</w:t>
            </w:r>
          </w:p>
        </w:tc>
      </w:tr>
      <w:tr w:rsidR="00631B37" w:rsidRPr="00797EA7" w:rsidTr="006B00AE"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Globální zpráva o zelených dovednostech, (2022)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Ekologické dovednosti: jsou takové, které umožňují environmentální udržitelnost hospodářských činností.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4D89" w:rsidRPr="00797EA7" w:rsidRDefault="00A46B5A">
            <w:pPr>
              <w:spacing w:after="120"/>
              <w:ind w:left="0" w:firstLine="0"/>
              <w:rPr>
                <w:rFonts w:eastAsiaTheme="minorEastAsia" w:cstheme="minorHAnsi"/>
                <w:sz w:val="20"/>
                <w:szCs w:val="20"/>
                <w:lang w:val="cs-CZ"/>
              </w:rPr>
            </w:pPr>
            <w:r w:rsidRPr="00797EA7">
              <w:rPr>
                <w:rFonts w:eastAsiaTheme="minorEastAsia" w:cstheme="minorHAnsi"/>
                <w:sz w:val="20"/>
                <w:szCs w:val="20"/>
                <w:lang w:val="cs-CZ"/>
              </w:rPr>
              <w:t>Pro environmentální udržitelnost ekonomiky.</w:t>
            </w:r>
          </w:p>
        </w:tc>
      </w:tr>
    </w:tbl>
    <w:p w:rsidR="00B04D89" w:rsidRPr="00797EA7" w:rsidRDefault="00A46B5A">
      <w:pPr>
        <w:pStyle w:val="Textpoznpodarou"/>
        <w:jc w:val="both"/>
        <w:rPr>
          <w:rFonts w:cstheme="minorHAnsi"/>
          <w:lang w:val="cs-CZ"/>
        </w:rPr>
      </w:pPr>
      <w:r w:rsidRPr="00797EA7">
        <w:rPr>
          <w:rFonts w:eastAsiaTheme="minorEastAsia" w:cstheme="minorHAnsi"/>
          <w:lang w:val="cs-CZ"/>
        </w:rPr>
        <w:t xml:space="preserve">Zdroj: </w:t>
      </w:r>
      <w:r w:rsidR="000F114E" w:rsidRPr="00797EA7">
        <w:rPr>
          <w:rFonts w:eastAsiaTheme="minorEastAsia" w:cstheme="minorHAnsi"/>
          <w:lang w:val="cs-CZ"/>
        </w:rPr>
        <w:t>(</w:t>
      </w:r>
      <w:r w:rsidRPr="00797EA7">
        <w:rPr>
          <w:rFonts w:eastAsiaTheme="minorEastAsia" w:cstheme="minorHAnsi"/>
          <w:lang w:val="cs-CZ"/>
        </w:rPr>
        <w:t xml:space="preserve">McDonald, </w:t>
      </w:r>
      <w:proofErr w:type="gramStart"/>
      <w:r w:rsidR="000F114E" w:rsidRPr="00797EA7">
        <w:rPr>
          <w:rFonts w:eastAsiaTheme="minorEastAsia" w:cstheme="minorHAnsi"/>
          <w:i/>
          <w:iCs/>
          <w:lang w:val="cs-CZ"/>
        </w:rPr>
        <w:t xml:space="preserve">et al. </w:t>
      </w:r>
      <w:r w:rsidRPr="00797EA7">
        <w:rPr>
          <w:rFonts w:eastAsiaTheme="minorEastAsia" w:cstheme="minorHAnsi"/>
          <w:lang w:val="cs-CZ"/>
        </w:rPr>
        <w:t>,</w:t>
      </w:r>
      <w:proofErr w:type="gramEnd"/>
      <w:r w:rsidRPr="00797EA7">
        <w:rPr>
          <w:rFonts w:eastAsiaTheme="minorEastAsia" w:cstheme="minorHAnsi"/>
          <w:lang w:val="cs-CZ"/>
        </w:rPr>
        <w:t xml:space="preserve"> 2012</w:t>
      </w:r>
      <w:r w:rsidR="000F114E" w:rsidRPr="00797EA7">
        <w:rPr>
          <w:rFonts w:eastAsiaTheme="minorEastAsia" w:cstheme="minorHAnsi"/>
          <w:lang w:val="cs-CZ"/>
        </w:rPr>
        <w:t xml:space="preserve">; </w:t>
      </w:r>
      <w:r w:rsidR="009A3626" w:rsidRPr="00797EA7">
        <w:rPr>
          <w:rFonts w:eastAsiaTheme="minorEastAsia" w:cstheme="minorHAnsi"/>
          <w:lang w:val="cs-CZ"/>
        </w:rPr>
        <w:t>Arthur, 2021</w:t>
      </w:r>
      <w:r w:rsidR="000F114E" w:rsidRPr="00797EA7">
        <w:rPr>
          <w:rFonts w:eastAsiaTheme="minorEastAsia" w:cstheme="minorHAnsi"/>
          <w:lang w:val="cs-CZ"/>
        </w:rPr>
        <w:t xml:space="preserve">; </w:t>
      </w:r>
      <w:r w:rsidR="00B95034" w:rsidRPr="00797EA7">
        <w:rPr>
          <w:rFonts w:cstheme="minorHAnsi"/>
          <w:lang w:val="cs-CZ"/>
        </w:rPr>
        <w:t>OECD/CEDEFOP, 2014</w:t>
      </w:r>
      <w:r w:rsidR="000F114E" w:rsidRPr="00797EA7">
        <w:rPr>
          <w:rFonts w:cstheme="minorHAnsi"/>
          <w:lang w:val="cs-CZ"/>
        </w:rPr>
        <w:t xml:space="preserve">; </w:t>
      </w:r>
      <w:proofErr w:type="spellStart"/>
      <w:r w:rsidR="000E4AF8" w:rsidRPr="00797EA7">
        <w:rPr>
          <w:rFonts w:cstheme="minorHAnsi"/>
          <w:lang w:val="cs-CZ"/>
        </w:rPr>
        <w:t>LinkedIn</w:t>
      </w:r>
      <w:proofErr w:type="spellEnd"/>
      <w:r w:rsidR="000E4AF8" w:rsidRPr="00797EA7">
        <w:rPr>
          <w:rFonts w:cstheme="minorHAnsi"/>
          <w:lang w:val="cs-CZ"/>
        </w:rPr>
        <w:t xml:space="preserve"> </w:t>
      </w:r>
      <w:proofErr w:type="spellStart"/>
      <w:r w:rsidR="000E4AF8" w:rsidRPr="00797EA7">
        <w:rPr>
          <w:rFonts w:cstheme="minorHAnsi"/>
          <w:lang w:val="cs-CZ"/>
        </w:rPr>
        <w:t>Economic</w:t>
      </w:r>
      <w:proofErr w:type="spellEnd"/>
      <w:r w:rsidR="000E4AF8" w:rsidRPr="00797EA7">
        <w:rPr>
          <w:rFonts w:cstheme="minorHAnsi"/>
          <w:lang w:val="cs-CZ"/>
        </w:rPr>
        <w:t xml:space="preserve"> </w:t>
      </w:r>
      <w:proofErr w:type="spellStart"/>
      <w:r w:rsidR="000E4AF8" w:rsidRPr="00797EA7">
        <w:rPr>
          <w:rFonts w:cstheme="minorHAnsi"/>
          <w:lang w:val="cs-CZ"/>
        </w:rPr>
        <w:t>Graph</w:t>
      </w:r>
      <w:proofErr w:type="spellEnd"/>
      <w:r w:rsidR="000E4AF8" w:rsidRPr="00797EA7">
        <w:rPr>
          <w:rFonts w:cstheme="minorHAnsi"/>
          <w:lang w:val="cs-CZ"/>
        </w:rPr>
        <w:t>, 2022).</w:t>
      </w:r>
    </w:p>
    <w:p w:rsidR="0004368C" w:rsidRPr="00797EA7" w:rsidRDefault="0004368C" w:rsidP="005969FC">
      <w:pPr>
        <w:spacing w:after="120"/>
        <w:jc w:val="both"/>
        <w:rPr>
          <w:rFonts w:eastAsiaTheme="minorEastAsia" w:cstheme="minorHAnsi"/>
          <w:sz w:val="20"/>
          <w:szCs w:val="20"/>
          <w:lang w:val="cs-CZ"/>
        </w:rPr>
      </w:pPr>
    </w:p>
    <w:p w:rsidR="00B04D89" w:rsidRPr="00797EA7" w:rsidRDefault="00A46B5A">
      <w:pPr>
        <w:spacing w:after="12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Podstatou ekologických dovedností </w:t>
      </w:r>
      <w:r w:rsidRPr="00797EA7">
        <w:rPr>
          <w:rFonts w:eastAsiaTheme="minorEastAsia" w:cstheme="minorHAnsi"/>
          <w:lang w:val="cs-CZ"/>
        </w:rPr>
        <w:t xml:space="preserve">je budování </w:t>
      </w:r>
      <w:r w:rsidR="00FB6D75" w:rsidRPr="00797EA7">
        <w:rPr>
          <w:rFonts w:eastAsiaTheme="minorEastAsia" w:cstheme="minorHAnsi"/>
          <w:lang w:val="cs-CZ"/>
        </w:rPr>
        <w:t xml:space="preserve">pracovního </w:t>
      </w:r>
      <w:r w:rsidRPr="00797EA7">
        <w:rPr>
          <w:rFonts w:eastAsiaTheme="minorEastAsia" w:cstheme="minorHAnsi"/>
          <w:lang w:val="cs-CZ"/>
        </w:rPr>
        <w:t xml:space="preserve">potenciálu pro plnění úkolů, které přinášejí zisk, aniž by ohrožovaly přírodní ekosystém, a zajištění udržitelného hospodářského růstu a rozvoje. Tato úloha ekologických dovedností, kterou na sebe berou instituce pro odbornou přípravu, by měla být v souladu s potřebami průmyslových odvětví. Proto je nezbytné, aby instituce pro přípravu dovedností revidovaly učební osnovy s cílem vybavit absolventy ekologickými dovednostmi, které by uspokojily poptávku na trhu pracovních sil. </w:t>
      </w:r>
    </w:p>
    <w:p w:rsidR="00B04D89" w:rsidRPr="00797EA7" w:rsidRDefault="00A46B5A">
      <w:pPr>
        <w:spacing w:after="12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lang w:val="cs-CZ"/>
        </w:rPr>
        <w:t xml:space="preserve">Jsou vyjmenovány tyto </w:t>
      </w:r>
      <w:r w:rsidRPr="00797EA7">
        <w:rPr>
          <w:rFonts w:eastAsiaTheme="minorEastAsia" w:cstheme="minorHAnsi"/>
          <w:b/>
          <w:bCs/>
          <w:lang w:val="cs-CZ"/>
        </w:rPr>
        <w:t xml:space="preserve">zelené dovednosti: </w:t>
      </w:r>
    </w:p>
    <w:p w:rsidR="00B04D89" w:rsidRPr="00797EA7" w:rsidRDefault="00A46B5A">
      <w:pPr>
        <w:pStyle w:val="Odstavecseseznamem"/>
        <w:numPr>
          <w:ilvl w:val="1"/>
          <w:numId w:val="20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vertAlign w:val="superscript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Konstrukční dovednosti </w:t>
      </w:r>
      <w:r w:rsidRPr="00797EA7">
        <w:rPr>
          <w:rFonts w:eastAsiaTheme="minorEastAsia" w:cstheme="minorHAnsi"/>
          <w:lang w:val="cs-CZ"/>
        </w:rPr>
        <w:t xml:space="preserve">(konstrukce budov, konstrukce strojů a obvodů). Dnešní designér by měl být schopen začlenit do svého návrhu ekologické prvky, aby vytvořil nápad, který je šetrný k životnímu prostředí </w:t>
      </w:r>
      <w:r w:rsidR="00FB6D75" w:rsidRPr="00797EA7">
        <w:rPr>
          <w:rFonts w:eastAsiaTheme="minorEastAsia" w:cstheme="minorHAnsi"/>
          <w:lang w:val="cs-CZ"/>
        </w:rPr>
        <w:t>(</w:t>
      </w:r>
      <w:proofErr w:type="spellStart"/>
      <w:r w:rsidR="00FB6D75" w:rsidRPr="00797EA7">
        <w:rPr>
          <w:rFonts w:eastAsiaTheme="minorEastAsia" w:cstheme="minorHAnsi"/>
          <w:lang w:val="cs-CZ"/>
        </w:rPr>
        <w:t>Ragheb</w:t>
      </w:r>
      <w:proofErr w:type="spellEnd"/>
      <w:r w:rsidR="00FB6D75" w:rsidRPr="00797EA7">
        <w:rPr>
          <w:rFonts w:eastAsiaTheme="minorEastAsia" w:cstheme="minorHAnsi"/>
          <w:lang w:val="cs-CZ"/>
        </w:rPr>
        <w:t xml:space="preserve"> </w:t>
      </w:r>
      <w:proofErr w:type="gramStart"/>
      <w:r w:rsidR="00FB6D75" w:rsidRPr="00797EA7">
        <w:rPr>
          <w:rFonts w:eastAsiaTheme="minorEastAsia" w:cstheme="minorHAnsi"/>
          <w:i/>
          <w:iCs/>
          <w:lang w:val="cs-CZ"/>
        </w:rPr>
        <w:t xml:space="preserve">et al. </w:t>
      </w:r>
      <w:r w:rsidR="00FB6D75" w:rsidRPr="00797EA7">
        <w:rPr>
          <w:rFonts w:eastAsiaTheme="minorEastAsia" w:cstheme="minorHAnsi"/>
          <w:lang w:val="cs-CZ"/>
        </w:rPr>
        <w:t>,</w:t>
      </w:r>
      <w:proofErr w:type="gramEnd"/>
      <w:r w:rsidR="00FB6D75" w:rsidRPr="00797EA7">
        <w:rPr>
          <w:rFonts w:eastAsiaTheme="minorEastAsia" w:cstheme="minorHAnsi"/>
          <w:lang w:val="cs-CZ"/>
        </w:rPr>
        <w:t xml:space="preserve"> 2016)</w:t>
      </w:r>
      <w:r w:rsidRPr="00797EA7">
        <w:rPr>
          <w:rFonts w:eastAsiaTheme="minorEastAsia" w:cstheme="minorHAnsi"/>
          <w:lang w:val="cs-CZ"/>
        </w:rPr>
        <w:t xml:space="preserve">. </w:t>
      </w:r>
    </w:p>
    <w:p w:rsidR="00B04D89" w:rsidRPr="00797EA7" w:rsidRDefault="00696AE5">
      <w:pPr>
        <w:pStyle w:val="Odstavecseseznamem"/>
        <w:numPr>
          <w:ilvl w:val="1"/>
          <w:numId w:val="20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>D</w:t>
      </w:r>
      <w:r w:rsidR="00A46B5A" w:rsidRPr="00797EA7">
        <w:rPr>
          <w:rFonts w:eastAsiaTheme="minorEastAsia" w:cstheme="minorHAnsi"/>
          <w:b/>
          <w:bCs/>
          <w:lang w:val="cs-CZ"/>
        </w:rPr>
        <w:t xml:space="preserve">ovednost vedení </w:t>
      </w:r>
      <w:r w:rsidR="00A46B5A" w:rsidRPr="00797EA7">
        <w:rPr>
          <w:rFonts w:eastAsiaTheme="minorEastAsia" w:cstheme="minorHAnsi"/>
          <w:lang w:val="cs-CZ"/>
        </w:rPr>
        <w:t xml:space="preserve">a </w:t>
      </w:r>
      <w:r w:rsidR="00A51D63" w:rsidRPr="00797EA7">
        <w:rPr>
          <w:rFonts w:eastAsiaTheme="minorEastAsia" w:cstheme="minorHAnsi"/>
          <w:b/>
          <w:bCs/>
          <w:lang w:val="cs-CZ"/>
        </w:rPr>
        <w:t>3</w:t>
      </w:r>
      <w:r w:rsidR="00A46B5A" w:rsidRPr="00797EA7">
        <w:rPr>
          <w:rFonts w:eastAsiaTheme="minorEastAsia" w:cstheme="minorHAnsi"/>
          <w:b/>
          <w:bCs/>
          <w:lang w:val="cs-CZ"/>
        </w:rPr>
        <w:t xml:space="preserve">) </w:t>
      </w:r>
      <w:r w:rsidRPr="00797EA7">
        <w:rPr>
          <w:rFonts w:eastAsiaTheme="minorEastAsia" w:cstheme="minorHAnsi"/>
          <w:b/>
          <w:bCs/>
          <w:lang w:val="cs-CZ"/>
        </w:rPr>
        <w:t>D</w:t>
      </w:r>
      <w:r w:rsidR="00A46B5A" w:rsidRPr="00797EA7">
        <w:rPr>
          <w:rFonts w:eastAsiaTheme="minorEastAsia" w:cstheme="minorHAnsi"/>
          <w:b/>
          <w:bCs/>
          <w:lang w:val="cs-CZ"/>
        </w:rPr>
        <w:t xml:space="preserve">ovednost řízení </w:t>
      </w:r>
      <w:r w:rsidR="00A46B5A" w:rsidRPr="00797EA7">
        <w:rPr>
          <w:rFonts w:eastAsiaTheme="minorEastAsia" w:cstheme="minorHAnsi"/>
          <w:lang w:val="cs-CZ"/>
        </w:rPr>
        <w:t>(změna organizační struktury, funkce a provozu s cílem podpořit ekologické činnosti, jako je štíhlá výroba nebo řízení životního cyklu (</w:t>
      </w:r>
      <w:r w:rsidR="00FB6D75" w:rsidRPr="00797EA7">
        <w:rPr>
          <w:rFonts w:eastAsiaTheme="minorEastAsia" w:cstheme="minorHAnsi"/>
          <w:lang w:val="cs-CZ"/>
        </w:rPr>
        <w:t>UNEP, 2012)</w:t>
      </w:r>
      <w:r w:rsidR="00A51D63" w:rsidRPr="00797EA7">
        <w:rPr>
          <w:rFonts w:eastAsiaTheme="minorEastAsia" w:cstheme="minorHAnsi"/>
          <w:lang w:val="cs-CZ"/>
        </w:rPr>
        <w:t>.</w:t>
      </w:r>
    </w:p>
    <w:p w:rsidR="00B04D89" w:rsidRPr="00797EA7" w:rsidRDefault="00A46B5A">
      <w:pPr>
        <w:pStyle w:val="Odstavecseseznamem"/>
        <w:numPr>
          <w:ilvl w:val="0"/>
          <w:numId w:val="21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Dovednosti v oblasti plánování měst </w:t>
      </w:r>
      <w:r w:rsidRPr="00797EA7">
        <w:rPr>
          <w:rFonts w:eastAsiaTheme="minorEastAsia" w:cstheme="minorHAnsi"/>
          <w:lang w:val="cs-CZ"/>
        </w:rPr>
        <w:t xml:space="preserve">a </w:t>
      </w:r>
      <w:r w:rsidR="00A51D63" w:rsidRPr="00797EA7">
        <w:rPr>
          <w:rFonts w:eastAsiaTheme="minorEastAsia" w:cstheme="minorHAnsi"/>
          <w:b/>
          <w:bCs/>
          <w:lang w:val="cs-CZ"/>
        </w:rPr>
        <w:t xml:space="preserve">5) </w:t>
      </w:r>
      <w:r w:rsidR="00696AE5" w:rsidRPr="00797EA7">
        <w:rPr>
          <w:rFonts w:eastAsiaTheme="minorEastAsia" w:cstheme="minorHAnsi"/>
          <w:b/>
          <w:bCs/>
          <w:lang w:val="cs-CZ"/>
        </w:rPr>
        <w:t>D</w:t>
      </w:r>
      <w:r w:rsidRPr="00797EA7">
        <w:rPr>
          <w:rFonts w:eastAsiaTheme="minorEastAsia" w:cstheme="minorHAnsi"/>
          <w:b/>
          <w:bCs/>
          <w:lang w:val="cs-CZ"/>
        </w:rPr>
        <w:t xml:space="preserve">ovednosti v oblasti krajinářství </w:t>
      </w:r>
      <w:r w:rsidRPr="00797EA7">
        <w:rPr>
          <w:rFonts w:eastAsiaTheme="minorEastAsia" w:cstheme="minorHAnsi"/>
          <w:lang w:val="cs-CZ"/>
        </w:rPr>
        <w:t>(mnoho částí světa prochází urbanizací a stávající metropole se vyvíjejí tak, aby se staly chytrými městy, jejichž cílem je vytvořit pohodlnější a modernější místa pro život (</w:t>
      </w:r>
      <w:proofErr w:type="spellStart"/>
      <w:r w:rsidR="00694BC2" w:rsidRPr="00797EA7">
        <w:rPr>
          <w:rFonts w:eastAsiaTheme="minorEastAsia" w:cstheme="minorHAnsi"/>
          <w:lang w:val="cs-CZ"/>
        </w:rPr>
        <w:t>Adhya</w:t>
      </w:r>
      <w:proofErr w:type="spellEnd"/>
      <w:r w:rsidR="00694BC2" w:rsidRPr="00797EA7">
        <w:rPr>
          <w:rFonts w:eastAsiaTheme="minorEastAsia" w:cstheme="minorHAnsi"/>
          <w:lang w:val="cs-CZ"/>
        </w:rPr>
        <w:t xml:space="preserve">, </w:t>
      </w:r>
      <w:r w:rsidR="00694BC2" w:rsidRPr="00797EA7">
        <w:rPr>
          <w:rFonts w:eastAsiaTheme="minorEastAsia" w:cstheme="minorHAnsi"/>
          <w:i/>
          <w:iCs/>
          <w:lang w:val="cs-CZ"/>
        </w:rPr>
        <w:t xml:space="preserve">et al. </w:t>
      </w:r>
      <w:r w:rsidR="00694BC2" w:rsidRPr="00797EA7">
        <w:rPr>
          <w:lang w:val="cs-CZ"/>
        </w:rPr>
        <w:t>2010</w:t>
      </w:r>
      <w:r w:rsidR="00694BC2" w:rsidRPr="00797EA7">
        <w:rPr>
          <w:rFonts w:eastAsiaTheme="minorEastAsia" w:cstheme="minorHAnsi"/>
          <w:lang w:val="cs-CZ"/>
        </w:rPr>
        <w:t>)</w:t>
      </w:r>
      <w:r w:rsidRPr="00797EA7">
        <w:rPr>
          <w:rFonts w:eastAsiaTheme="minorEastAsia" w:cstheme="minorHAnsi"/>
          <w:lang w:val="cs-CZ"/>
        </w:rPr>
        <w:t xml:space="preserve">. Tyto procesy vyžadují řádné plánování a krajinářské úpravy, aby se ve městech dalo </w:t>
      </w:r>
      <w:r w:rsidR="00694BC2" w:rsidRPr="00797EA7">
        <w:rPr>
          <w:rFonts w:eastAsiaTheme="minorEastAsia" w:cstheme="minorHAnsi"/>
          <w:lang w:val="cs-CZ"/>
        </w:rPr>
        <w:t xml:space="preserve">žít a aby byla dlouhodobě </w:t>
      </w:r>
      <w:r w:rsidRPr="00797EA7">
        <w:rPr>
          <w:rFonts w:eastAsiaTheme="minorEastAsia" w:cstheme="minorHAnsi"/>
          <w:lang w:val="cs-CZ"/>
        </w:rPr>
        <w:t>udržitelná)</w:t>
      </w:r>
      <w:r w:rsidR="00A51D63" w:rsidRPr="00797EA7">
        <w:rPr>
          <w:rFonts w:eastAsiaTheme="minorEastAsia" w:cstheme="minorHAnsi"/>
          <w:lang w:val="cs-CZ"/>
        </w:rPr>
        <w:t>.</w:t>
      </w:r>
    </w:p>
    <w:p w:rsidR="00B04D89" w:rsidRPr="00797EA7" w:rsidRDefault="00A46B5A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lastRenderedPageBreak/>
        <w:t xml:space="preserve">Energetické dovednosti </w:t>
      </w:r>
      <w:r w:rsidRPr="00797EA7">
        <w:rPr>
          <w:rFonts w:eastAsiaTheme="minorEastAsia" w:cstheme="minorHAnsi"/>
          <w:lang w:val="cs-CZ"/>
        </w:rPr>
        <w:t>(školení pracovníků s energetickými dovednostmi, které pomohou snížit využívání neobnovitelných zdrojů při výrobě a spotřebě energie a zároveň nahradit tyto neobnovitelné zdroje těmi, které jsou šetrnější k životnímu prostředí a bezpečnější.)</w:t>
      </w:r>
    </w:p>
    <w:p w:rsidR="00B04D89" w:rsidRPr="00797EA7" w:rsidRDefault="00A46B5A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Finanční dovednosti </w:t>
      </w:r>
      <w:r w:rsidRPr="00797EA7">
        <w:rPr>
          <w:rFonts w:eastAsiaTheme="minorEastAsia" w:cstheme="minorHAnsi"/>
          <w:lang w:val="cs-CZ"/>
        </w:rPr>
        <w:t xml:space="preserve">(řídit výdaje organizace s cílem vyrovnat příjmy a odpovědnost za ochranu životního prostředí </w:t>
      </w:r>
      <w:r w:rsidR="00694BC2" w:rsidRPr="00797EA7">
        <w:rPr>
          <w:rFonts w:eastAsiaTheme="minorEastAsia" w:cstheme="minorHAnsi"/>
          <w:lang w:val="cs-CZ"/>
        </w:rPr>
        <w:t>(</w:t>
      </w:r>
      <w:proofErr w:type="spellStart"/>
      <w:r w:rsidR="00A611CA" w:rsidRPr="00797EA7">
        <w:rPr>
          <w:rFonts w:eastAsiaTheme="minorEastAsia" w:cstheme="minorHAnsi"/>
          <w:lang w:val="cs-CZ"/>
        </w:rPr>
        <w:t>Krechovská</w:t>
      </w:r>
      <w:proofErr w:type="spellEnd"/>
      <w:r w:rsidR="00A611CA" w:rsidRPr="00797EA7">
        <w:rPr>
          <w:rFonts w:eastAsiaTheme="minorEastAsia" w:cstheme="minorHAnsi"/>
          <w:lang w:val="cs-CZ"/>
        </w:rPr>
        <w:t>, 2015)</w:t>
      </w:r>
      <w:r w:rsidR="00A51D63" w:rsidRPr="00797EA7">
        <w:rPr>
          <w:rFonts w:eastAsiaTheme="minorEastAsia" w:cstheme="minorHAnsi"/>
          <w:lang w:val="cs-CZ"/>
        </w:rPr>
        <w:t>.</w:t>
      </w:r>
    </w:p>
    <w:p w:rsidR="00B04D89" w:rsidRPr="00797EA7" w:rsidRDefault="00A46B5A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Dovednosti v oblasti zadávání veřejných zakázek </w:t>
      </w:r>
      <w:r w:rsidRPr="00797EA7">
        <w:rPr>
          <w:rFonts w:eastAsiaTheme="minorEastAsia" w:cstheme="minorHAnsi"/>
          <w:lang w:val="cs-CZ"/>
        </w:rPr>
        <w:t xml:space="preserve">(řeší mnoho interních oddělení organizace i externích agentur, které řídí, koordinují a nakupují materiál. V kontextu ekologického průmyslu jsou dovednosti v oblasti zadávání zakázek velmi potřebné k zajištění toho, aby nakupované materiály byly šetrné k životnímu prostředí a minimalizovaly tak dopad na životní prostředí během jejich životního cyklu </w:t>
      </w:r>
      <w:r w:rsidR="00A611CA" w:rsidRPr="00797EA7">
        <w:rPr>
          <w:rFonts w:eastAsiaTheme="minorEastAsia" w:cstheme="minorHAnsi"/>
          <w:lang w:val="cs-CZ"/>
        </w:rPr>
        <w:t>(</w:t>
      </w:r>
      <w:proofErr w:type="spellStart"/>
      <w:r w:rsidR="00A611CA" w:rsidRPr="00797EA7">
        <w:rPr>
          <w:rFonts w:eastAsiaTheme="minorEastAsia" w:cstheme="minorHAnsi"/>
          <w:lang w:val="cs-CZ"/>
        </w:rPr>
        <w:t>Bohari</w:t>
      </w:r>
      <w:proofErr w:type="spellEnd"/>
      <w:r w:rsidR="00A611CA" w:rsidRPr="00797EA7">
        <w:rPr>
          <w:rFonts w:eastAsiaTheme="minorEastAsia" w:cstheme="minorHAnsi"/>
          <w:lang w:val="cs-CZ"/>
        </w:rPr>
        <w:t xml:space="preserve"> &amp; </w:t>
      </w:r>
      <w:proofErr w:type="spellStart"/>
      <w:r w:rsidR="00A611CA" w:rsidRPr="00797EA7">
        <w:rPr>
          <w:rFonts w:eastAsiaTheme="minorEastAsia" w:cstheme="minorHAnsi"/>
          <w:lang w:val="cs-CZ"/>
        </w:rPr>
        <w:t>Xia</w:t>
      </w:r>
      <w:proofErr w:type="spellEnd"/>
      <w:r w:rsidR="00A611CA" w:rsidRPr="00797EA7">
        <w:rPr>
          <w:rFonts w:eastAsiaTheme="minorEastAsia" w:cstheme="minorHAnsi"/>
          <w:lang w:val="cs-CZ"/>
        </w:rPr>
        <w:t>, 2015)</w:t>
      </w:r>
      <w:r w:rsidR="00A51D63" w:rsidRPr="00797EA7">
        <w:rPr>
          <w:rFonts w:eastAsiaTheme="minorEastAsia" w:cstheme="minorHAnsi"/>
          <w:lang w:val="cs-CZ"/>
        </w:rPr>
        <w:t>.</w:t>
      </w:r>
    </w:p>
    <w:p w:rsidR="00B04D89" w:rsidRPr="00797EA7" w:rsidRDefault="00A46B5A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Dovednosti v oblasti nakládání s odpady </w:t>
      </w:r>
      <w:r w:rsidRPr="00797EA7">
        <w:rPr>
          <w:rFonts w:eastAsiaTheme="minorEastAsia" w:cstheme="minorHAnsi"/>
          <w:lang w:val="cs-CZ"/>
        </w:rPr>
        <w:t xml:space="preserve">(schopnost snižovat, opětovně využívat a recyklovat odpady prostřednictvím správného plánování, zavádění a koordinace systému nakládání s odpady </w:t>
      </w:r>
      <w:r w:rsidR="00A611CA" w:rsidRPr="00797EA7">
        <w:rPr>
          <w:rFonts w:eastAsiaTheme="minorEastAsia" w:cstheme="minorHAnsi"/>
          <w:lang w:val="cs-CZ"/>
        </w:rPr>
        <w:t>(</w:t>
      </w:r>
      <w:proofErr w:type="spellStart"/>
      <w:r w:rsidR="00A611CA" w:rsidRPr="00797EA7">
        <w:rPr>
          <w:rFonts w:eastAsiaTheme="minorEastAsia" w:cstheme="minorHAnsi"/>
          <w:lang w:val="cs-CZ"/>
        </w:rPr>
        <w:t>Bozkurt</w:t>
      </w:r>
      <w:proofErr w:type="spellEnd"/>
      <w:r w:rsidR="00A611CA" w:rsidRPr="00797EA7">
        <w:rPr>
          <w:rFonts w:eastAsiaTheme="minorEastAsia" w:cstheme="minorHAnsi"/>
          <w:lang w:val="cs-CZ"/>
        </w:rPr>
        <w:t xml:space="preserve"> &amp; </w:t>
      </w:r>
      <w:proofErr w:type="spellStart"/>
      <w:r w:rsidR="00A611CA" w:rsidRPr="00797EA7">
        <w:rPr>
          <w:rFonts w:eastAsiaTheme="minorEastAsia" w:cstheme="minorHAnsi"/>
          <w:lang w:val="cs-CZ"/>
        </w:rPr>
        <w:t>Stowell</w:t>
      </w:r>
      <w:proofErr w:type="spellEnd"/>
      <w:r w:rsidR="00A611CA" w:rsidRPr="00797EA7">
        <w:rPr>
          <w:rFonts w:eastAsiaTheme="minorEastAsia" w:cstheme="minorHAnsi"/>
          <w:lang w:val="cs-CZ"/>
        </w:rPr>
        <w:t>, 2016)</w:t>
      </w:r>
      <w:r w:rsidRPr="00797EA7">
        <w:rPr>
          <w:rFonts w:eastAsiaTheme="minorEastAsia" w:cstheme="minorHAnsi"/>
          <w:lang w:val="cs-CZ"/>
        </w:rPr>
        <w:t>. Dovednosti v oblasti nakládání s odpady jsou v dnešní době velmi žádané v odvětví odpadového hospodářství, které nesmírně přispívá k udržitelnosti životního prostředí a prevenci znečištění)</w:t>
      </w:r>
      <w:r w:rsidR="00E541F0" w:rsidRPr="00797EA7">
        <w:rPr>
          <w:rFonts w:eastAsiaTheme="minorEastAsia" w:cstheme="minorHAnsi"/>
          <w:lang w:val="cs-CZ"/>
        </w:rPr>
        <w:t>.</w:t>
      </w:r>
    </w:p>
    <w:p w:rsidR="00B04D89" w:rsidRPr="00797EA7" w:rsidRDefault="00A46B5A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0"/>
        <w:jc w:val="both"/>
        <w:rPr>
          <w:rFonts w:eastAsiaTheme="minorEastAsia" w:cstheme="minorHAnsi"/>
          <w:lang w:val="cs-CZ"/>
        </w:rPr>
      </w:pPr>
      <w:r w:rsidRPr="00797EA7">
        <w:rPr>
          <w:rFonts w:eastAsiaTheme="minorEastAsia" w:cstheme="minorHAnsi"/>
          <w:b/>
          <w:bCs/>
          <w:lang w:val="cs-CZ"/>
        </w:rPr>
        <w:t xml:space="preserve">Komunikační dovednosti </w:t>
      </w:r>
      <w:r w:rsidRPr="00797EA7">
        <w:rPr>
          <w:rFonts w:eastAsiaTheme="minorEastAsia" w:cstheme="minorHAnsi"/>
          <w:lang w:val="cs-CZ"/>
        </w:rPr>
        <w:t xml:space="preserve">(potřebné pro verbální a neverbální komunikaci, ale zahrnují také technologické dovednosti pro komunikaci, která minimalizuje spotřebu energie a více směřuje k ekologickému typu komunikace </w:t>
      </w:r>
      <w:r w:rsidR="00A611CA" w:rsidRPr="00797EA7">
        <w:rPr>
          <w:rFonts w:eastAsiaTheme="minorEastAsia" w:cstheme="minorHAnsi"/>
          <w:lang w:val="cs-CZ"/>
        </w:rPr>
        <w:t>(</w:t>
      </w:r>
      <w:proofErr w:type="spellStart"/>
      <w:r w:rsidR="00A611CA" w:rsidRPr="00797EA7">
        <w:rPr>
          <w:rFonts w:eastAsiaTheme="minorEastAsia" w:cstheme="minorHAnsi"/>
          <w:lang w:val="cs-CZ"/>
        </w:rPr>
        <w:t>Bozkurt</w:t>
      </w:r>
      <w:proofErr w:type="spellEnd"/>
      <w:r w:rsidR="00A611CA" w:rsidRPr="00797EA7">
        <w:rPr>
          <w:rFonts w:eastAsiaTheme="minorEastAsia" w:cstheme="minorHAnsi"/>
          <w:lang w:val="cs-CZ"/>
        </w:rPr>
        <w:t xml:space="preserve"> &amp; </w:t>
      </w:r>
      <w:proofErr w:type="spellStart"/>
      <w:r w:rsidR="00A611CA" w:rsidRPr="00797EA7">
        <w:rPr>
          <w:rFonts w:eastAsiaTheme="minorEastAsia" w:cstheme="minorHAnsi"/>
          <w:lang w:val="cs-CZ"/>
        </w:rPr>
        <w:t>Stowell</w:t>
      </w:r>
      <w:proofErr w:type="spellEnd"/>
      <w:r w:rsidR="00A611CA" w:rsidRPr="00797EA7">
        <w:rPr>
          <w:rFonts w:eastAsiaTheme="minorEastAsia" w:cstheme="minorHAnsi"/>
          <w:lang w:val="cs-CZ"/>
        </w:rPr>
        <w:t>, 2016)</w:t>
      </w:r>
      <w:r w:rsidRPr="00797EA7">
        <w:rPr>
          <w:rFonts w:eastAsiaTheme="minorEastAsia" w:cstheme="minorHAnsi"/>
          <w:lang w:val="cs-CZ"/>
        </w:rPr>
        <w:t xml:space="preserve">.  </w:t>
      </w:r>
    </w:p>
    <w:p w:rsidR="00B04D89" w:rsidRPr="00797EA7" w:rsidRDefault="00A46B5A">
      <w:p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Výše uvedená klasifikace nevylučuje celou řadu dalších dovedností potřebných pro utváření zelené ekonomiky. V literatuře se uvádí také </w:t>
      </w:r>
      <w:r w:rsidR="00A611CA" w:rsidRPr="00797EA7">
        <w:rPr>
          <w:rFonts w:cstheme="minorHAnsi"/>
          <w:lang w:val="cs-CZ"/>
        </w:rPr>
        <w:t>(</w:t>
      </w:r>
      <w:proofErr w:type="spellStart"/>
      <w:r w:rsidR="00A611CA" w:rsidRPr="00797EA7">
        <w:rPr>
          <w:rFonts w:cstheme="minorHAnsi"/>
          <w:lang w:val="cs-CZ"/>
        </w:rPr>
        <w:t>Strietska-Ilina</w:t>
      </w:r>
      <w:proofErr w:type="spellEnd"/>
      <w:r w:rsidR="00A611CA" w:rsidRPr="00797EA7">
        <w:rPr>
          <w:rFonts w:cstheme="minorHAnsi"/>
          <w:lang w:val="cs-CZ"/>
        </w:rPr>
        <w:t xml:space="preserve"> </w:t>
      </w:r>
      <w:proofErr w:type="gramStart"/>
      <w:r w:rsidR="00A611CA" w:rsidRPr="00797EA7">
        <w:rPr>
          <w:rFonts w:cstheme="minorHAnsi"/>
          <w:i/>
          <w:iCs/>
          <w:lang w:val="cs-CZ"/>
        </w:rPr>
        <w:t xml:space="preserve">et al. </w:t>
      </w:r>
      <w:r w:rsidR="00A611CA" w:rsidRPr="00797EA7">
        <w:rPr>
          <w:rFonts w:cstheme="minorHAnsi"/>
          <w:lang w:val="cs-CZ"/>
        </w:rPr>
        <w:t>,</w:t>
      </w:r>
      <w:proofErr w:type="gramEnd"/>
      <w:r w:rsidR="00A611CA" w:rsidRPr="00797EA7">
        <w:rPr>
          <w:rFonts w:cstheme="minorHAnsi"/>
          <w:lang w:val="cs-CZ"/>
        </w:rPr>
        <w:t xml:space="preserve"> 2011)</w:t>
      </w:r>
      <w:r w:rsidRPr="00797EA7">
        <w:rPr>
          <w:rFonts w:cstheme="minorHAnsi"/>
          <w:lang w:val="cs-CZ"/>
        </w:rPr>
        <w:t>:</w:t>
      </w:r>
    </w:p>
    <w:p w:rsidR="00B04D89" w:rsidRPr="00797EA7" w:rsidRDefault="00A46B5A">
      <w:pPr>
        <w:pStyle w:val="Odstavecseseznamem"/>
        <w:numPr>
          <w:ilvl w:val="0"/>
          <w:numId w:val="34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přizpůsobivost a přenositelnost dovedností, aby se pracovníci mohli učit a používat nové technologie a postupy potřebné pro ekologizaci jejich pracovních míst;</w:t>
      </w:r>
    </w:p>
    <w:p w:rsidR="00B04D89" w:rsidRPr="00797EA7" w:rsidRDefault="00A46B5A">
      <w:pPr>
        <w:pStyle w:val="Odstavecseseznamem"/>
        <w:numPr>
          <w:ilvl w:val="0"/>
          <w:numId w:val="34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dovednosti v oblasti systémové analýzy a analýzy rizik, aby bylo možné posoudit, interpretovat a pochopit potřebu změny i potřebná opatření;</w:t>
      </w:r>
    </w:p>
    <w:p w:rsidR="00B04D89" w:rsidRPr="00797EA7" w:rsidRDefault="00A46B5A">
      <w:pPr>
        <w:pStyle w:val="Odstavecseseznamem"/>
        <w:numPr>
          <w:ilvl w:val="0"/>
          <w:numId w:val="34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podnikatelské dovednosti k využití příležitostí nízkouhlíkových technologií;</w:t>
      </w:r>
    </w:p>
    <w:p w:rsidR="00B04D89" w:rsidRPr="00797EA7" w:rsidRDefault="00A46B5A">
      <w:pPr>
        <w:pStyle w:val="Odstavecseseznamem"/>
        <w:numPr>
          <w:ilvl w:val="0"/>
          <w:numId w:val="34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inovační dovednosti k identifikaci příležitostí a vytváření nových strategií, které reagují na ekologické výzvy;</w:t>
      </w:r>
    </w:p>
    <w:p w:rsidR="00B04D89" w:rsidRPr="00797EA7" w:rsidRDefault="00A46B5A">
      <w:pPr>
        <w:pStyle w:val="Odstavecseseznamem"/>
        <w:numPr>
          <w:ilvl w:val="0"/>
          <w:numId w:val="34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marketingové dovednosti k propagaci ekologičtějších výrobků a služeb;</w:t>
      </w:r>
    </w:p>
    <w:p w:rsidR="00B04D89" w:rsidRPr="00797EA7" w:rsidRDefault="00A46B5A">
      <w:pPr>
        <w:pStyle w:val="Odstavecseseznamem"/>
        <w:numPr>
          <w:ilvl w:val="0"/>
          <w:numId w:val="34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poradenské dovednosti, aby spotřebitelům poradila ohledně ekologických řešení a rozšířila používání ekologických technologií;</w:t>
      </w:r>
    </w:p>
    <w:p w:rsidR="00B04D89" w:rsidRPr="00797EA7" w:rsidRDefault="00A46B5A">
      <w:pPr>
        <w:pStyle w:val="Odstavecseseznamem"/>
        <w:numPr>
          <w:ilvl w:val="0"/>
          <w:numId w:val="34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síťové, IT a jazykové dovednosti, abyste mohli působit na globálních trzích</w:t>
      </w:r>
      <w:r w:rsidR="0067191D"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Každá ekonomika musí disponovat širokou škálou znalostí a technických, manažerských a koncepčních dovedností </w:t>
      </w:r>
      <w:r w:rsidR="00A611CA" w:rsidRPr="00797EA7">
        <w:rPr>
          <w:rFonts w:cstheme="minorHAnsi"/>
          <w:lang w:val="cs-CZ"/>
        </w:rPr>
        <w:t>(</w:t>
      </w:r>
      <w:proofErr w:type="spellStart"/>
      <w:r w:rsidR="00A611CA" w:rsidRPr="00797EA7">
        <w:rPr>
          <w:rFonts w:cstheme="minorHAnsi"/>
          <w:lang w:val="cs-CZ"/>
        </w:rPr>
        <w:t>Strietska-Ilina</w:t>
      </w:r>
      <w:proofErr w:type="spellEnd"/>
      <w:r w:rsidR="00A611CA" w:rsidRPr="00797EA7">
        <w:rPr>
          <w:rFonts w:cstheme="minorHAnsi"/>
          <w:lang w:val="cs-CZ"/>
        </w:rPr>
        <w:t xml:space="preserve"> </w:t>
      </w:r>
      <w:proofErr w:type="gramStart"/>
      <w:r w:rsidR="00A611CA" w:rsidRPr="00797EA7">
        <w:rPr>
          <w:rFonts w:cstheme="minorHAnsi"/>
          <w:i/>
          <w:iCs/>
          <w:lang w:val="cs-CZ"/>
        </w:rPr>
        <w:t xml:space="preserve">et al. </w:t>
      </w:r>
      <w:r w:rsidR="00A611CA" w:rsidRPr="00797EA7">
        <w:rPr>
          <w:rFonts w:cstheme="minorHAnsi"/>
          <w:lang w:val="cs-CZ"/>
        </w:rPr>
        <w:t>,</w:t>
      </w:r>
      <w:proofErr w:type="gramEnd"/>
      <w:r w:rsidR="00A611CA" w:rsidRPr="00797EA7">
        <w:rPr>
          <w:rFonts w:cstheme="minorHAnsi"/>
          <w:lang w:val="cs-CZ"/>
        </w:rPr>
        <w:t xml:space="preserve"> 2011)</w:t>
      </w:r>
      <w:r w:rsidRPr="00797EA7">
        <w:rPr>
          <w:rFonts w:cstheme="minorHAnsi"/>
          <w:lang w:val="cs-CZ"/>
        </w:rPr>
        <w:t xml:space="preserve">. </w:t>
      </w:r>
      <w:r w:rsidR="002369F7" w:rsidRPr="00797EA7">
        <w:rPr>
          <w:rFonts w:cstheme="minorHAnsi"/>
          <w:lang w:val="cs-CZ"/>
        </w:rPr>
        <w:t xml:space="preserve">Některé z těchto dovedností nemusí být nutně ekologické samy o sobě, ale pouze tak ekologické, jak ekologický je kontext, v němž jsou uplatňovány. V </w:t>
      </w:r>
      <w:r w:rsidR="003F7EAE" w:rsidRPr="00797EA7">
        <w:rPr>
          <w:rFonts w:cstheme="minorHAnsi"/>
          <w:lang w:val="cs-CZ"/>
        </w:rPr>
        <w:t xml:space="preserve">tomto případě je třeba zdůraznit, že určitá nesamozřejmost spojená s vymezením zelených dovedností ve vztahu k podnikatelským činnostem je způsobena také tím, že zelená pracovní místa nejsou přesně definována </w:t>
      </w:r>
      <w:r w:rsidR="003F13D1" w:rsidRPr="00797EA7">
        <w:rPr>
          <w:rFonts w:cstheme="minorHAnsi"/>
          <w:lang w:val="cs-CZ"/>
        </w:rPr>
        <w:t>(</w:t>
      </w:r>
      <w:proofErr w:type="spellStart"/>
      <w:r w:rsidR="003F13D1" w:rsidRPr="00797EA7">
        <w:rPr>
          <w:rFonts w:cstheme="minorHAnsi"/>
          <w:lang w:val="cs-CZ"/>
        </w:rPr>
        <w:t>Maclean</w:t>
      </w:r>
      <w:proofErr w:type="spellEnd"/>
      <w:r w:rsidR="003F13D1" w:rsidRPr="00797EA7">
        <w:rPr>
          <w:rFonts w:cstheme="minorHAnsi"/>
          <w:lang w:val="cs-CZ"/>
        </w:rPr>
        <w:t xml:space="preserve">, </w:t>
      </w:r>
      <w:proofErr w:type="gramStart"/>
      <w:r w:rsidR="003F13D1" w:rsidRPr="00797EA7">
        <w:rPr>
          <w:rFonts w:cstheme="minorHAnsi"/>
          <w:i/>
          <w:iCs/>
          <w:lang w:val="cs-CZ"/>
        </w:rPr>
        <w:t xml:space="preserve">et al. </w:t>
      </w:r>
      <w:r w:rsidR="003F13D1" w:rsidRPr="00797EA7">
        <w:rPr>
          <w:rFonts w:cstheme="minorHAnsi"/>
          <w:lang w:val="cs-CZ"/>
        </w:rPr>
        <w:t>,</w:t>
      </w:r>
      <w:proofErr w:type="gramEnd"/>
      <w:r w:rsidR="003F13D1" w:rsidRPr="00797EA7">
        <w:rPr>
          <w:rFonts w:cstheme="minorHAnsi"/>
          <w:lang w:val="cs-CZ"/>
        </w:rPr>
        <w:t xml:space="preserve"> 2013)</w:t>
      </w:r>
      <w:r w:rsidR="006E49E2" w:rsidRPr="00797EA7">
        <w:rPr>
          <w:rFonts w:cstheme="minorHAnsi"/>
          <w:lang w:val="cs-CZ"/>
        </w:rPr>
        <w:t>. V tomto ohledu, jak upozorňují různí autoři, je tedy možné uvažovat o zelených dovednostech pro pracovní místa. Budou tedy zahrnovat tyto prvky (</w:t>
      </w:r>
      <w:proofErr w:type="spellStart"/>
      <w:r w:rsidR="003F13D1" w:rsidRPr="00797EA7">
        <w:rPr>
          <w:rFonts w:cstheme="minorHAnsi"/>
          <w:lang w:val="cs-CZ"/>
        </w:rPr>
        <w:t>Maclean</w:t>
      </w:r>
      <w:proofErr w:type="spellEnd"/>
      <w:r w:rsidR="003F13D1" w:rsidRPr="00797EA7">
        <w:rPr>
          <w:rFonts w:cstheme="minorHAnsi"/>
          <w:lang w:val="cs-CZ"/>
        </w:rPr>
        <w:t xml:space="preserve">, </w:t>
      </w:r>
      <w:proofErr w:type="gramStart"/>
      <w:r w:rsidR="003F13D1" w:rsidRPr="00797EA7">
        <w:rPr>
          <w:rFonts w:cstheme="minorHAnsi"/>
          <w:i/>
          <w:iCs/>
          <w:lang w:val="cs-CZ"/>
        </w:rPr>
        <w:t xml:space="preserve">et al. </w:t>
      </w:r>
      <w:r w:rsidR="003F13D1" w:rsidRPr="00797EA7">
        <w:rPr>
          <w:rFonts w:cstheme="minorHAnsi"/>
          <w:lang w:val="cs-CZ"/>
        </w:rPr>
        <w:t>,</w:t>
      </w:r>
      <w:proofErr w:type="gramEnd"/>
      <w:r w:rsidR="003F13D1" w:rsidRPr="00797EA7">
        <w:rPr>
          <w:rFonts w:cstheme="minorHAnsi"/>
          <w:lang w:val="cs-CZ"/>
        </w:rPr>
        <w:t xml:space="preserve"> 2013) </w:t>
      </w:r>
      <w:r w:rsidR="006F49FC" w:rsidRPr="00797EA7">
        <w:rPr>
          <w:rFonts w:cstheme="minorHAnsi"/>
          <w:lang w:val="cs-CZ"/>
        </w:rPr>
        <w:t xml:space="preserve">(schéma </w:t>
      </w:r>
      <w:r w:rsidR="00877B5C" w:rsidRPr="00797EA7">
        <w:rPr>
          <w:rFonts w:cstheme="minorHAnsi"/>
          <w:lang w:val="cs-CZ"/>
        </w:rPr>
        <w:t>4)</w:t>
      </w:r>
      <w:r w:rsidR="006F49FC"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8" w:name="_Toc109046991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br w:type="column"/>
      </w:r>
      <w:r w:rsidR="00390AE3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lastRenderedPageBreak/>
        <w:t xml:space="preserve">Schéma </w:t>
      </w:r>
      <w:r w:rsidR="00390AE3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="00390AE3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Scheme \* ARABIC </w:instrText>
      </w:r>
      <w:r w:rsidR="00390AE3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877B5C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4</w:t>
      </w:r>
      <w:r w:rsidR="00390AE3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="00390AE3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. </w:t>
      </w:r>
      <w:r w:rsidR="00420E35" w:rsidRPr="00797EA7">
        <w:rPr>
          <w:i w:val="0"/>
          <w:iCs w:val="0"/>
          <w:color w:val="auto"/>
          <w:sz w:val="24"/>
          <w:szCs w:val="24"/>
          <w:lang w:val="cs-CZ"/>
        </w:rPr>
        <w:t>Způsob myšlení v oblasti zelených dovedností pro pracovní místa</w:t>
      </w:r>
      <w:bookmarkEnd w:id="8"/>
    </w:p>
    <w:p w:rsidR="00B04D89" w:rsidRPr="00797EA7" w:rsidRDefault="00696AE5">
      <w:pPr>
        <w:rPr>
          <w:rFonts w:ascii="Times New Roman" w:eastAsia="Times New Roman" w:hAnsi="Times New Roman" w:cs="Times New Roman"/>
          <w:lang w:val="cs-CZ" w:eastAsia="pl-PL"/>
        </w:rPr>
      </w:pPr>
      <w:r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29FD83C" wp14:editId="0DC9215B">
                <wp:simplePos x="0" y="0"/>
                <wp:positionH relativeFrom="margin">
                  <wp:posOffset>2896870</wp:posOffset>
                </wp:positionH>
                <wp:positionV relativeFrom="paragraph">
                  <wp:posOffset>602615</wp:posOffset>
                </wp:positionV>
                <wp:extent cx="1212850" cy="1009650"/>
                <wp:effectExtent l="0" t="0" r="0" b="0"/>
                <wp:wrapNone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využití stávajících technických dovedností </w:t>
                            </w:r>
                            <w:proofErr w:type="gramStart"/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etických znalostí a nových technických dovedností (např. v oblasti obnovitelných zdrojů energie).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D83C" id="_x0000_s1035" type="#_x0000_t202" style="position:absolute;margin-left:228.1pt;margin-top:47.45pt;width:95.5pt;height:7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využití stávajících technických dovedností </w:t>
                      </w:r>
                      <w:proofErr w:type="gramStart"/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etických znalostí a nových technických dovedností (např. v oblasti obnovitelných zdrojů energie).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D0B0C73" wp14:editId="4584295A">
                <wp:simplePos x="0" y="0"/>
                <wp:positionH relativeFrom="margin">
                  <wp:posOffset>4255770</wp:posOffset>
                </wp:positionH>
                <wp:positionV relativeFrom="paragraph">
                  <wp:posOffset>770890</wp:posOffset>
                </wp:positionV>
                <wp:extent cx="1174750" cy="641350"/>
                <wp:effectExtent l="0" t="0" r="0" b="6350"/>
                <wp:wrapNone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technické dovednosti </w:t>
                            </w:r>
                            <w:proofErr w:type="gramStart"/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etika a udržitelnost, které je třeba ještě rozvinout.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0C73" id="_x0000_s1036" type="#_x0000_t202" style="position:absolute;margin-left:335.1pt;margin-top:60.7pt;width:92.5pt;height:5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technické dovednosti </w:t>
                      </w:r>
                      <w:proofErr w:type="gramStart"/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etika a udržitelnost, které je třeba ještě rozvinout.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C72845" wp14:editId="0D1EA773">
                <wp:simplePos x="0" y="0"/>
                <wp:positionH relativeFrom="margin">
                  <wp:posOffset>179070</wp:posOffset>
                </wp:positionH>
                <wp:positionV relativeFrom="paragraph">
                  <wp:posOffset>777240</wp:posOffset>
                </wp:positionV>
                <wp:extent cx="1174750" cy="704850"/>
                <wp:effectExtent l="0" t="0" r="0" b="0"/>
                <wp:wrapNone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EA7">
                              <w:rPr>
                                <w:color w:val="FFFFFF" w:themeColor="background1"/>
                                <w:sz w:val="16"/>
                                <w:szCs w:val="16"/>
                                <w:lang w:val="cs-CZ"/>
                              </w:rPr>
                              <w:t xml:space="preserve">různá místa budou </w:t>
                            </w:r>
                            <w:r w:rsidRPr="00797EA7">
                              <w:rPr>
                                <w:color w:val="FFFFFF" w:themeColor="background1"/>
                                <w:sz w:val="16"/>
                                <w:szCs w:val="16"/>
                                <w:lang w:val="cs-CZ"/>
                              </w:rPr>
                              <w:br/>
                              <w:t>v různé míře záviset na nových odborných znalostech a nových technických</w:t>
                            </w: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dovednostech.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2845" id="_x0000_s1037" type="#_x0000_t202" style="position:absolute;margin-left:14.1pt;margin-top:61.2pt;width:92.5pt;height:5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EA7">
                        <w:rPr>
                          <w:color w:val="FFFFFF" w:themeColor="background1"/>
                          <w:sz w:val="16"/>
                          <w:szCs w:val="16"/>
                          <w:lang w:val="cs-CZ"/>
                        </w:rPr>
                        <w:t xml:space="preserve">různá místa budou </w:t>
                      </w:r>
                      <w:r w:rsidRPr="00797EA7">
                        <w:rPr>
                          <w:color w:val="FFFFFF" w:themeColor="background1"/>
                          <w:sz w:val="16"/>
                          <w:szCs w:val="16"/>
                          <w:lang w:val="cs-CZ"/>
                        </w:rPr>
                        <w:br/>
                        <w:t>v různé míře záviset na nových odborných znalostech a nových technických</w:t>
                      </w: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dovednostech.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19E187" wp14:editId="4C6504E8">
                <wp:simplePos x="0" y="0"/>
                <wp:positionH relativeFrom="margin">
                  <wp:posOffset>1550670</wp:posOffset>
                </wp:positionH>
                <wp:positionV relativeFrom="paragraph">
                  <wp:posOffset>675640</wp:posOffset>
                </wp:positionV>
                <wp:extent cx="1174750" cy="831850"/>
                <wp:effectExtent l="0" t="0" r="0" b="6350"/>
                <wp:wrapNone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vyplývají z iniciativ na přizpůsobení se změně klimatu - nová kombinace technických dovedností </w:t>
                            </w:r>
                            <w:proofErr w:type="gramStart"/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etiky (např. v hornictví nebo stavebnictví).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E187" id="_x0000_s1038" type="#_x0000_t202" style="position:absolute;margin-left:122.1pt;margin-top:53.2pt;width:92.5pt;height:6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vyplývají z iniciativ na přizpůsobení se změně klimatu - nová kombinace technických dovedností </w:t>
                      </w:r>
                      <w:proofErr w:type="gramStart"/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etiky (např. v hornictví nebo stavebnictví).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2235DDA" wp14:editId="6C943353">
                <wp:simplePos x="0" y="0"/>
                <wp:positionH relativeFrom="margin">
                  <wp:posOffset>4241800</wp:posOffset>
                </wp:positionH>
                <wp:positionV relativeFrom="paragraph">
                  <wp:posOffset>109220</wp:posOffset>
                </wp:positionV>
                <wp:extent cx="1447800" cy="361950"/>
                <wp:effectExtent l="0" t="0" r="0" b="0"/>
                <wp:wrapNone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Nová a rozšířená průmyslová odvětví využívající nové profese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5DDA" id="_x0000_s1039" type="#_x0000_t202" style="position:absolute;margin-left:334pt;margin-top:8.6pt;width:114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>Nová a rozšířená průmyslová odvětví využívající nové profese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2FA3B3" wp14:editId="4D645480">
                <wp:simplePos x="0" y="0"/>
                <wp:positionH relativeFrom="margin">
                  <wp:posOffset>2858770</wp:posOffset>
                </wp:positionH>
                <wp:positionV relativeFrom="paragraph">
                  <wp:posOffset>116840</wp:posOffset>
                </wp:positionV>
                <wp:extent cx="1447800" cy="361950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Nová a rozšířená odvětví využívající stávající technické dovednosti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A3B3" id="_x0000_s1040" type="#_x0000_t202" style="position:absolute;margin-left:225.1pt;margin-top:9.2pt;width:114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>Nová a rozšířená odvětví využívající stávající technické dovednosti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623F4B" wp14:editId="0CE2F4DA">
                <wp:simplePos x="0" y="0"/>
                <wp:positionH relativeFrom="margin">
                  <wp:posOffset>1410970</wp:posOffset>
                </wp:positionH>
                <wp:positionV relativeFrom="paragraph">
                  <wp:posOffset>8890</wp:posOffset>
                </wp:positionV>
                <wp:extent cx="1447800" cy="520700"/>
                <wp:effectExtent l="0" t="0" r="0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 w:rsidP="00B370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Nová pracovní místa ve stávajících odvětvích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3F4B" id="_x0000_s1041" type="#_x0000_t202" style="position:absolute;margin-left:111.1pt;margin-top:.7pt;width:114pt;height:4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" filled="f" stroked="f">
                <v:textbox>
                  <w:txbxContent>
                    <w:p w:rsidR="00797EA7" w:rsidRDefault="00797EA7" w:rsidP="00B370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>Nová pracovní místa ve stávajících odvětvích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04B707" wp14:editId="55C1BC67">
                <wp:simplePos x="0" y="0"/>
                <wp:positionH relativeFrom="margin">
                  <wp:posOffset>261620</wp:posOffset>
                </wp:positionH>
                <wp:positionV relativeFrom="paragraph">
                  <wp:posOffset>59690</wp:posOffset>
                </wp:positionV>
                <wp:extent cx="1174750" cy="520700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70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Etika a udržitelnost na stávajících pracovních místech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B707" id="_x0000_s1042" type="#_x0000_t202" style="position:absolute;margin-left:20.6pt;margin-top:4.7pt;width:92.5pt;height: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370A7">
                        <w:rPr>
                          <w:color w:val="FFFFFF" w:themeColor="background1"/>
                          <w:sz w:val="16"/>
                          <w:szCs w:val="16"/>
                        </w:rPr>
                        <w:t>Etika a udržitelnost na stávajících pracovních místech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5A" w:rsidRPr="00797EA7">
        <w:rPr>
          <w:rFonts w:ascii="Times New Roman" w:eastAsia="Times New Roman" w:hAnsi="Times New Roman" w:cs="Times New Roman"/>
          <w:noProof/>
          <w:lang w:val="cs-CZ" w:eastAsia="pl-PL"/>
        </w:rPr>
        <w:drawing>
          <wp:inline distT="0" distB="0" distL="0" distR="0" wp14:anchorId="0D051149" wp14:editId="306CC38C">
            <wp:extent cx="5755640" cy="162179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89" w:rsidRPr="00797EA7" w:rsidRDefault="00A46B5A">
      <w:pPr>
        <w:pStyle w:val="Textpoznpodarou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Zdroj: vlastní zpracování na základě: </w:t>
      </w:r>
      <w:r w:rsidR="00100C83" w:rsidRPr="00797EA7">
        <w:rPr>
          <w:rFonts w:cstheme="minorHAnsi"/>
          <w:lang w:val="cs-CZ"/>
        </w:rPr>
        <w:t>(</w:t>
      </w:r>
      <w:proofErr w:type="spellStart"/>
      <w:r w:rsidR="0053611E" w:rsidRPr="00797EA7">
        <w:rPr>
          <w:rFonts w:cstheme="minorHAnsi"/>
          <w:lang w:val="cs-CZ"/>
        </w:rPr>
        <w:t>Maclean</w:t>
      </w:r>
      <w:proofErr w:type="spellEnd"/>
      <w:r w:rsidR="0053611E" w:rsidRPr="00797EA7">
        <w:rPr>
          <w:rFonts w:cstheme="minorHAnsi"/>
          <w:lang w:val="cs-CZ"/>
        </w:rPr>
        <w:t xml:space="preserve">, </w:t>
      </w:r>
      <w:r w:rsidR="00100C83" w:rsidRPr="00797EA7">
        <w:rPr>
          <w:rFonts w:cstheme="minorHAnsi"/>
          <w:i/>
          <w:iCs/>
          <w:lang w:val="cs-CZ"/>
        </w:rPr>
        <w:t xml:space="preserve">et al. </w:t>
      </w:r>
      <w:r w:rsidR="0053611E" w:rsidRPr="00797EA7">
        <w:rPr>
          <w:rFonts w:cstheme="minorHAnsi"/>
          <w:lang w:val="cs-CZ"/>
        </w:rPr>
        <w:t>2013).</w:t>
      </w:r>
    </w:p>
    <w:p w:rsidR="00B04D89" w:rsidRPr="00797EA7" w:rsidRDefault="00A46B5A">
      <w:p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sz w:val="20"/>
          <w:szCs w:val="20"/>
          <w:lang w:val="cs-CZ"/>
        </w:rPr>
        <w:br/>
      </w:r>
      <w:r w:rsidR="00D7519C" w:rsidRPr="00797EA7">
        <w:rPr>
          <w:rFonts w:cstheme="minorHAnsi"/>
          <w:lang w:val="cs-CZ"/>
        </w:rPr>
        <w:t xml:space="preserve">Na základě tohoto typu klasifikace lze vytvářet skupiny dovedností s rostoucí úrovní podrobnosti. Jedním z takových příkladů je klasifikace, kterou navrhli Davide </w:t>
      </w:r>
      <w:proofErr w:type="spellStart"/>
      <w:r w:rsidR="00D7519C" w:rsidRPr="00797EA7">
        <w:rPr>
          <w:rFonts w:cstheme="minorHAnsi"/>
          <w:lang w:val="cs-CZ"/>
        </w:rPr>
        <w:t>Consoli</w:t>
      </w:r>
      <w:proofErr w:type="spellEnd"/>
      <w:r w:rsidR="00D7519C" w:rsidRPr="00797EA7">
        <w:rPr>
          <w:rFonts w:cstheme="minorHAnsi"/>
          <w:lang w:val="cs-CZ"/>
        </w:rPr>
        <w:t xml:space="preserve">, Giovanni Marin, David Popp a Francesco </w:t>
      </w:r>
      <w:proofErr w:type="spellStart"/>
      <w:r w:rsidR="00D7519C" w:rsidRPr="00797EA7">
        <w:rPr>
          <w:rFonts w:cstheme="minorHAnsi"/>
          <w:lang w:val="cs-CZ"/>
        </w:rPr>
        <w:t>Vona</w:t>
      </w:r>
      <w:proofErr w:type="spellEnd"/>
      <w:r w:rsidR="00D7519C" w:rsidRPr="00797EA7">
        <w:rPr>
          <w:rFonts w:cstheme="minorHAnsi"/>
          <w:lang w:val="cs-CZ"/>
        </w:rPr>
        <w:t xml:space="preserve"> </w:t>
      </w:r>
      <w:r w:rsidR="003F13D1" w:rsidRPr="00797EA7">
        <w:rPr>
          <w:rFonts w:cstheme="minorHAnsi"/>
          <w:lang w:val="cs-CZ"/>
        </w:rPr>
        <w:t>(</w:t>
      </w:r>
      <w:proofErr w:type="spellStart"/>
      <w:r w:rsidR="003F13D1" w:rsidRPr="00797EA7">
        <w:rPr>
          <w:rFonts w:cstheme="minorHAnsi"/>
          <w:lang w:val="cs-CZ"/>
        </w:rPr>
        <w:t>Consoli</w:t>
      </w:r>
      <w:proofErr w:type="spellEnd"/>
      <w:r w:rsidR="003F13D1" w:rsidRPr="00797EA7">
        <w:rPr>
          <w:rFonts w:cstheme="minorHAnsi"/>
          <w:lang w:val="cs-CZ"/>
        </w:rPr>
        <w:t xml:space="preserve"> </w:t>
      </w:r>
      <w:proofErr w:type="gramStart"/>
      <w:r w:rsidR="003F13D1" w:rsidRPr="00797EA7">
        <w:rPr>
          <w:rFonts w:cstheme="minorHAnsi"/>
          <w:i/>
          <w:iCs/>
          <w:lang w:val="cs-CZ"/>
        </w:rPr>
        <w:t xml:space="preserve">et al. </w:t>
      </w:r>
      <w:r w:rsidR="003F13D1" w:rsidRPr="00797EA7">
        <w:rPr>
          <w:rFonts w:cstheme="minorHAnsi"/>
          <w:lang w:val="cs-CZ"/>
        </w:rPr>
        <w:t>,</w:t>
      </w:r>
      <w:proofErr w:type="gramEnd"/>
      <w:r w:rsidR="003F13D1" w:rsidRPr="00797EA7">
        <w:rPr>
          <w:rFonts w:cstheme="minorHAnsi"/>
          <w:lang w:val="cs-CZ"/>
        </w:rPr>
        <w:t xml:space="preserve"> 2015) </w:t>
      </w:r>
      <w:r w:rsidR="00056151" w:rsidRPr="00797EA7">
        <w:rPr>
          <w:rFonts w:cstheme="minorHAnsi"/>
          <w:lang w:val="cs-CZ"/>
        </w:rPr>
        <w:t xml:space="preserve">(schéma </w:t>
      </w:r>
      <w:r w:rsidR="00877B5C" w:rsidRPr="00797EA7">
        <w:rPr>
          <w:rFonts w:cstheme="minorHAnsi"/>
          <w:lang w:val="cs-CZ"/>
        </w:rPr>
        <w:t>5)</w:t>
      </w:r>
      <w:r w:rsidR="00056151"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9" w:name="_Toc109046992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Schéma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Scheme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877B5C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5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. </w:t>
      </w:r>
      <w:r w:rsidR="00FF14DC" w:rsidRPr="00797EA7">
        <w:rPr>
          <w:i w:val="0"/>
          <w:iCs w:val="0"/>
          <w:color w:val="auto"/>
          <w:sz w:val="24"/>
          <w:szCs w:val="24"/>
          <w:lang w:val="cs-CZ"/>
        </w:rPr>
        <w:t>Kategorie zelených dovedností</w:t>
      </w:r>
      <w:bookmarkEnd w:id="9"/>
    </w:p>
    <w:p w:rsidR="00B04D89" w:rsidRPr="00797EA7" w:rsidRDefault="00A46B5A">
      <w:pPr>
        <w:jc w:val="center"/>
        <w:rPr>
          <w:rFonts w:ascii="Times New Roman" w:eastAsia="Times New Roman" w:hAnsi="Times New Roman" w:cs="Times New Roman"/>
          <w:lang w:val="cs-CZ" w:eastAsia="pl-PL"/>
        </w:rPr>
      </w:pPr>
      <w:r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B4AAB9B" wp14:editId="5AA6529E">
                <wp:simplePos x="0" y="0"/>
                <wp:positionH relativeFrom="margin">
                  <wp:posOffset>2998470</wp:posOffset>
                </wp:positionH>
                <wp:positionV relativeFrom="paragraph">
                  <wp:posOffset>2139315</wp:posOffset>
                </wp:positionV>
                <wp:extent cx="1879600" cy="1968500"/>
                <wp:effectExtent l="0" t="0" r="0" b="0"/>
                <wp:wrapNone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96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Dovednosti v oblasti monitorování </w:t>
                            </w:r>
                            <w:r w:rsidRPr="009818E6">
                              <w:rPr>
                                <w:color w:val="FFFFFF" w:themeColor="background1"/>
                              </w:rPr>
                              <w:t>- týkající se dodržování technických kritérií a právních regulačních požadavků (tj. dodržování zákonů a norem v oblasti životního prostředí u podniků působících v odvětvích znečišťujících životní prostředí).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AB9B" id="_x0000_s1043" type="#_x0000_t202" style="position:absolute;left:0;text-align:left;margin-left:236.1pt;margin-top:168.45pt;width:148pt;height:1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 xml:space="preserve">Dovednosti v oblasti monitorování </w:t>
                      </w:r>
                      <w:r w:rsidRPr="009818E6">
                        <w:rPr>
                          <w:color w:val="FFFFFF" w:themeColor="background1"/>
                        </w:rPr>
                        <w:t>- týkající se dodržování technických kritérií a právních regulačních požadavků (tj. dodržování zákonů a norem v oblasti životního prostředí u podniků působících v odvětvích znečišťujících životní prostředí).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9BC5429" wp14:editId="08F57DCB">
                <wp:simplePos x="0" y="0"/>
                <wp:positionH relativeFrom="margin">
                  <wp:posOffset>871220</wp:posOffset>
                </wp:positionH>
                <wp:positionV relativeFrom="paragraph">
                  <wp:posOffset>2132965</wp:posOffset>
                </wp:positionV>
                <wp:extent cx="1879600" cy="1968500"/>
                <wp:effectExtent l="0" t="0" r="0" b="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96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Dovednosti v oblasti řízení provozu </w:t>
                            </w:r>
                            <w:r w:rsidRPr="009818E6">
                              <w:rPr>
                                <w:color w:val="FFFFFF" w:themeColor="background1"/>
                              </w:rPr>
                              <w:t>- související se změnami v organizační struktuře, které jsou nezbytné pro podporu ekologických činností prostřednictvím řízení životního cyklu, štíhlé výroby a spolupráce s externími subjekty (včetně regulačních orgánů a zákazníků).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5429" id="_x0000_s1044" type="#_x0000_t202" style="position:absolute;left:0;text-align:left;margin-left:68.6pt;margin-top:167.95pt;width:148pt;height:1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 xml:space="preserve">Dovednosti v oblasti řízení provozu </w:t>
                      </w:r>
                      <w:r w:rsidRPr="009818E6">
                        <w:rPr>
                          <w:color w:val="FFFFFF" w:themeColor="background1"/>
                        </w:rPr>
                        <w:t>- související se změnami v organizační struktuře, které jsou nezbytné pro podporu ekologických činností prostřednictvím řízení životního cyklu, štíhlé výroby a spolupráce s externími subjekty (včetně regulačních orgánů a zákazníků).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E78081" wp14:editId="6839B1B3">
                <wp:simplePos x="0" y="0"/>
                <wp:positionH relativeFrom="margin">
                  <wp:posOffset>3011170</wp:posOffset>
                </wp:positionH>
                <wp:positionV relativeFrom="paragraph">
                  <wp:posOffset>354965</wp:posOffset>
                </wp:positionV>
                <wp:extent cx="1879600" cy="1390650"/>
                <wp:effectExtent l="0" t="0" r="0" b="0"/>
                <wp:wrapNone/>
                <wp:docPr id="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Přírodovědné dovednosti </w:t>
                            </w:r>
                            <w:r w:rsidRPr="009818E6">
                              <w:rPr>
                                <w:color w:val="FFFFFF" w:themeColor="background1"/>
                              </w:rPr>
                              <w:t>- vycházející z poznatků, jako je fyzika a biologie (poptávka po tomto typu dovedností existuje v raných fázích hodnotových řetězců a v sektoru veřejných služeb).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8081" id="_x0000_s1045" type="#_x0000_t202" style="position:absolute;left:0;text-align:left;margin-left:237.1pt;margin-top:27.95pt;width:148pt;height:10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 xml:space="preserve">Přírodovědné dovednosti </w:t>
                      </w:r>
                      <w:r w:rsidRPr="009818E6">
                        <w:rPr>
                          <w:color w:val="FFFFFF" w:themeColor="background1"/>
                        </w:rPr>
                        <w:t>- vycházející z poznatků, jako je fyzika a biologie (poptávka po tomto typu dovedností existuje v raných fázích hodnotových řetězců a v sektoru veřejných služeb).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7EA7">
        <w:rPr>
          <w:rFonts w:ascii="Times New Roman" w:eastAsia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862FBE5" wp14:editId="586627D4">
                <wp:simplePos x="0" y="0"/>
                <wp:positionH relativeFrom="margin">
                  <wp:posOffset>845820</wp:posOffset>
                </wp:positionH>
                <wp:positionV relativeFrom="paragraph">
                  <wp:posOffset>221615</wp:posOffset>
                </wp:positionV>
                <wp:extent cx="1879600" cy="1644650"/>
                <wp:effectExtent l="0" t="0" r="0" b="0"/>
                <wp:wrapNone/>
                <wp:docPr id="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64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</w:t>
                            </w:r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nženýrské</w:t>
                            </w:r>
                            <w:proofErr w:type="spellEnd"/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technické</w:t>
                            </w:r>
                            <w:proofErr w:type="spellEnd"/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dovednosti</w:t>
                            </w:r>
                            <w:proofErr w:type="spellEnd"/>
                            <w:r w:rsidRPr="009818E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818E6">
                              <w:rPr>
                                <w:color w:val="FFFFFF" w:themeColor="background1"/>
                              </w:rPr>
                              <w:t xml:space="preserve">- podílejí se na návrhu, konstrukci a hodnocení technologií (know-how významné pro ekologické stavby, projektování obnovitelných zdrojů energie </w:t>
                            </w:r>
                            <w:proofErr w:type="gramStart"/>
                            <w:r w:rsidRPr="009818E6">
                              <w:rPr>
                                <w:color w:val="FFFFFF" w:themeColor="background1"/>
                              </w:rPr>
                              <w:t>a</w:t>
                            </w:r>
                            <w:proofErr w:type="gramEnd"/>
                            <w:r w:rsidRPr="009818E6">
                              <w:rPr>
                                <w:color w:val="FFFFFF" w:themeColor="background1"/>
                              </w:rPr>
                              <w:t xml:space="preserve"> energeticky úsporné projekty výzkumu a vývoje).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FBE5" id="_x0000_s1046" type="#_x0000_t202" style="position:absolute;left:0;text-align:left;margin-left:66.6pt;margin-top:17.45pt;width:148pt;height:12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" filled="f" stroked="f">
                <v:textbox>
                  <w:txbxContent>
                    <w:p w:rsidR="00797EA7" w:rsidRDefault="00797E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I</w:t>
                      </w:r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>nženýrské</w:t>
                      </w:r>
                      <w:proofErr w:type="spellEnd"/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>technické</w:t>
                      </w:r>
                      <w:proofErr w:type="spellEnd"/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>dovednosti</w:t>
                      </w:r>
                      <w:proofErr w:type="spellEnd"/>
                      <w:r w:rsidRPr="009818E6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9818E6">
                        <w:rPr>
                          <w:color w:val="FFFFFF" w:themeColor="background1"/>
                        </w:rPr>
                        <w:t xml:space="preserve">- podílejí se na návrhu, konstrukci a hodnocení technologií (know-how významné pro ekologické stavby, projektování obnovitelných zdrojů energie </w:t>
                      </w:r>
                      <w:proofErr w:type="gramStart"/>
                      <w:r w:rsidRPr="009818E6"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 w:rsidRPr="009818E6">
                        <w:rPr>
                          <w:color w:val="FFFFFF" w:themeColor="background1"/>
                        </w:rPr>
                        <w:t xml:space="preserve"> energeticky úsporné projekty výzkumu a vývoje).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7EA7">
        <w:rPr>
          <w:noProof/>
          <w:lang w:val="cs-CZ"/>
        </w:rPr>
        <w:drawing>
          <wp:inline distT="0" distB="0" distL="0" distR="0" wp14:anchorId="6212CD3A" wp14:editId="0658026A">
            <wp:extent cx="4279900" cy="4152900"/>
            <wp:effectExtent l="0" t="0" r="6350" b="0"/>
            <wp:docPr id="49" name="Obraz 49" descr="Obraz zawierający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budy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89" w:rsidRPr="00797EA7" w:rsidRDefault="00A46B5A">
      <w:pPr>
        <w:spacing w:after="200"/>
        <w:jc w:val="both"/>
        <w:rPr>
          <w:sz w:val="20"/>
          <w:szCs w:val="20"/>
          <w:lang w:val="cs-CZ"/>
        </w:rPr>
      </w:pPr>
      <w:r w:rsidRPr="00797EA7">
        <w:rPr>
          <w:sz w:val="20"/>
          <w:szCs w:val="20"/>
          <w:lang w:val="cs-CZ"/>
        </w:rPr>
        <w:t>Zdroj: vlastní zpracování na základě: (</w:t>
      </w:r>
      <w:proofErr w:type="spellStart"/>
      <w:r w:rsidRPr="00797EA7">
        <w:rPr>
          <w:sz w:val="20"/>
          <w:szCs w:val="20"/>
          <w:lang w:val="cs-CZ"/>
        </w:rPr>
        <w:t>Consoli</w:t>
      </w:r>
      <w:proofErr w:type="spellEnd"/>
      <w:r w:rsidRPr="00797EA7">
        <w:rPr>
          <w:sz w:val="20"/>
          <w:szCs w:val="20"/>
          <w:lang w:val="cs-CZ"/>
        </w:rPr>
        <w:t xml:space="preserve"> </w:t>
      </w:r>
      <w:r w:rsidR="00FC354A" w:rsidRPr="00797EA7">
        <w:rPr>
          <w:i/>
          <w:iCs/>
          <w:sz w:val="20"/>
          <w:szCs w:val="20"/>
          <w:lang w:val="cs-CZ"/>
        </w:rPr>
        <w:t xml:space="preserve">et al., </w:t>
      </w:r>
      <w:r w:rsidRPr="00797EA7">
        <w:rPr>
          <w:sz w:val="20"/>
          <w:szCs w:val="20"/>
          <w:lang w:val="cs-CZ"/>
        </w:rPr>
        <w:t>2015).</w:t>
      </w:r>
    </w:p>
    <w:p w:rsidR="00B04D89" w:rsidRPr="00797EA7" w:rsidRDefault="00A46B5A">
      <w:pPr>
        <w:spacing w:after="200"/>
        <w:jc w:val="both"/>
        <w:rPr>
          <w:lang w:val="cs-CZ"/>
        </w:rPr>
      </w:pPr>
      <w:r w:rsidRPr="00797EA7">
        <w:rPr>
          <w:lang w:val="cs-CZ"/>
        </w:rPr>
        <w:t xml:space="preserve">Důležité je, že mnohé z těchto klasifikací nepoukazují přímo na konkrétní praktické dovednosti, ale zaměřují se na jejich vztahový popis ve vztahu k ekonomice. </w:t>
      </w:r>
      <w:r w:rsidR="00100777" w:rsidRPr="00797EA7">
        <w:rPr>
          <w:lang w:val="cs-CZ"/>
        </w:rPr>
        <w:t xml:space="preserve">To je například případ klasifikace navržené skupinou </w:t>
      </w:r>
      <w:proofErr w:type="spellStart"/>
      <w:r w:rsidR="00100777" w:rsidRPr="00797EA7">
        <w:rPr>
          <w:lang w:val="cs-CZ"/>
        </w:rPr>
        <w:t>LinkedIn</w:t>
      </w:r>
      <w:proofErr w:type="spellEnd"/>
      <w:r w:rsidR="00100777" w:rsidRPr="00797EA7">
        <w:rPr>
          <w:lang w:val="cs-CZ"/>
        </w:rPr>
        <w:t xml:space="preserve"> </w:t>
      </w:r>
      <w:r w:rsidR="003D48C6" w:rsidRPr="00797EA7">
        <w:rPr>
          <w:lang w:val="cs-CZ"/>
        </w:rPr>
        <w:t>(</w:t>
      </w:r>
      <w:proofErr w:type="spellStart"/>
      <w:r w:rsidR="003D48C6" w:rsidRPr="00797EA7">
        <w:rPr>
          <w:rFonts w:cstheme="minorHAnsi"/>
          <w:lang w:val="cs-CZ"/>
        </w:rPr>
        <w:t>LinkedIn</w:t>
      </w:r>
      <w:proofErr w:type="spellEnd"/>
      <w:r w:rsidR="003D48C6" w:rsidRPr="00797EA7">
        <w:rPr>
          <w:rFonts w:cstheme="minorHAnsi"/>
          <w:lang w:val="cs-CZ"/>
        </w:rPr>
        <w:t xml:space="preserve"> </w:t>
      </w:r>
      <w:proofErr w:type="spellStart"/>
      <w:r w:rsidR="003D48C6" w:rsidRPr="00797EA7">
        <w:rPr>
          <w:rFonts w:cstheme="minorHAnsi"/>
          <w:lang w:val="cs-CZ"/>
        </w:rPr>
        <w:t>Economic</w:t>
      </w:r>
      <w:proofErr w:type="spellEnd"/>
      <w:r w:rsidR="003D48C6" w:rsidRPr="00797EA7">
        <w:rPr>
          <w:rFonts w:cstheme="minorHAnsi"/>
          <w:lang w:val="cs-CZ"/>
        </w:rPr>
        <w:t xml:space="preserve"> </w:t>
      </w:r>
      <w:proofErr w:type="spellStart"/>
      <w:r w:rsidR="003D48C6" w:rsidRPr="00797EA7">
        <w:rPr>
          <w:rFonts w:cstheme="minorHAnsi"/>
          <w:lang w:val="cs-CZ"/>
        </w:rPr>
        <w:t>Graph</w:t>
      </w:r>
      <w:proofErr w:type="spellEnd"/>
      <w:r w:rsidR="003D48C6" w:rsidRPr="00797EA7">
        <w:rPr>
          <w:rFonts w:cstheme="minorHAnsi"/>
          <w:lang w:val="cs-CZ"/>
        </w:rPr>
        <w:t>, 2022</w:t>
      </w:r>
      <w:r w:rsidR="003D48C6" w:rsidRPr="00797EA7">
        <w:rPr>
          <w:lang w:val="cs-CZ"/>
        </w:rPr>
        <w:t xml:space="preserve">), </w:t>
      </w:r>
      <w:r w:rsidR="00100777" w:rsidRPr="00797EA7">
        <w:rPr>
          <w:lang w:val="cs-CZ"/>
        </w:rPr>
        <w:t>kde se rozlišují tři typy těchto dovedností:</w:t>
      </w:r>
    </w:p>
    <w:p w:rsidR="00B04D89" w:rsidRPr="00797EA7" w:rsidRDefault="00A46B5A">
      <w:pPr>
        <w:pStyle w:val="Odstavecseseznamem"/>
        <w:numPr>
          <w:ilvl w:val="0"/>
          <w:numId w:val="35"/>
        </w:numPr>
        <w:spacing w:after="200"/>
        <w:jc w:val="both"/>
        <w:rPr>
          <w:lang w:val="cs-CZ"/>
        </w:rPr>
      </w:pPr>
      <w:r w:rsidRPr="00797EA7">
        <w:rPr>
          <w:b/>
          <w:bCs/>
          <w:lang w:val="cs-CZ"/>
        </w:rPr>
        <w:lastRenderedPageBreak/>
        <w:t xml:space="preserve">"Základní" ekologické </w:t>
      </w:r>
      <w:r w:rsidR="00797EA7" w:rsidRPr="00797EA7">
        <w:rPr>
          <w:b/>
          <w:bCs/>
          <w:lang w:val="cs-CZ"/>
        </w:rPr>
        <w:t xml:space="preserve">dovednosti </w:t>
      </w:r>
      <w:r w:rsidR="00797EA7" w:rsidRPr="00797EA7">
        <w:rPr>
          <w:lang w:val="cs-CZ"/>
        </w:rPr>
        <w:t>– jsou</w:t>
      </w:r>
      <w:r w:rsidRPr="00797EA7">
        <w:rPr>
          <w:lang w:val="cs-CZ"/>
        </w:rPr>
        <w:t xml:space="preserve"> přím</w:t>
      </w:r>
      <w:r w:rsidR="00696AE5" w:rsidRPr="00797EA7">
        <w:rPr>
          <w:lang w:val="cs-CZ"/>
        </w:rPr>
        <w:t>o</w:t>
      </w:r>
      <w:r w:rsidRPr="00797EA7">
        <w:rPr>
          <w:lang w:val="cs-CZ"/>
        </w:rPr>
        <w:t xml:space="preserve"> spojeny s činnostmi podporujícími udržitelnost (např. recyklace); </w:t>
      </w:r>
    </w:p>
    <w:p w:rsidR="00B04D89" w:rsidRPr="00797EA7" w:rsidRDefault="00A46B5A">
      <w:pPr>
        <w:pStyle w:val="Odstavecseseznamem"/>
        <w:numPr>
          <w:ilvl w:val="0"/>
          <w:numId w:val="35"/>
        </w:numPr>
        <w:spacing w:after="200"/>
        <w:jc w:val="both"/>
        <w:rPr>
          <w:lang w:val="cs-CZ"/>
        </w:rPr>
      </w:pPr>
      <w:r w:rsidRPr="00797EA7">
        <w:rPr>
          <w:b/>
          <w:bCs/>
          <w:lang w:val="cs-CZ"/>
        </w:rPr>
        <w:t xml:space="preserve">"Ambivalentní" ekologické </w:t>
      </w:r>
      <w:r w:rsidR="00797EA7" w:rsidRPr="00797EA7">
        <w:rPr>
          <w:b/>
          <w:bCs/>
          <w:lang w:val="cs-CZ"/>
        </w:rPr>
        <w:t xml:space="preserve">dovednosti </w:t>
      </w:r>
      <w:r w:rsidR="00797EA7" w:rsidRPr="00797EA7">
        <w:rPr>
          <w:lang w:val="cs-CZ"/>
        </w:rPr>
        <w:t>– mohou</w:t>
      </w:r>
      <w:r w:rsidRPr="00797EA7">
        <w:rPr>
          <w:lang w:val="cs-CZ"/>
        </w:rPr>
        <w:t>, ale nemusí být využívány pro udržitelnost (např. správa vozového parku);</w:t>
      </w:r>
    </w:p>
    <w:p w:rsidR="00B04D89" w:rsidRPr="00797EA7" w:rsidRDefault="00A46B5A">
      <w:pPr>
        <w:pStyle w:val="Odstavecseseznamem"/>
        <w:numPr>
          <w:ilvl w:val="0"/>
          <w:numId w:val="35"/>
        </w:numPr>
        <w:spacing w:after="200"/>
        <w:jc w:val="both"/>
        <w:rPr>
          <w:lang w:val="cs-CZ"/>
        </w:rPr>
      </w:pPr>
      <w:r w:rsidRPr="00797EA7">
        <w:rPr>
          <w:b/>
          <w:bCs/>
          <w:lang w:val="cs-CZ"/>
        </w:rPr>
        <w:t xml:space="preserve">"Sousední" zelené </w:t>
      </w:r>
      <w:r w:rsidR="00797EA7" w:rsidRPr="00797EA7">
        <w:rPr>
          <w:b/>
          <w:bCs/>
          <w:lang w:val="cs-CZ"/>
        </w:rPr>
        <w:t xml:space="preserve">dovednosti </w:t>
      </w:r>
      <w:r w:rsidR="00797EA7" w:rsidRPr="00797EA7">
        <w:rPr>
          <w:lang w:val="cs-CZ"/>
        </w:rPr>
        <w:t>– mohou</w:t>
      </w:r>
      <w:r w:rsidRPr="00797EA7">
        <w:rPr>
          <w:lang w:val="cs-CZ"/>
        </w:rPr>
        <w:t xml:space="preserve"> podpořit získávání základních a ambivalentních zelených dovedností (např. biologie).</w:t>
      </w:r>
    </w:p>
    <w:p w:rsidR="00B04D89" w:rsidRPr="00797EA7" w:rsidRDefault="00A46B5A">
      <w:pPr>
        <w:spacing w:after="200"/>
        <w:jc w:val="both"/>
        <w:rPr>
          <w:lang w:val="cs-CZ"/>
        </w:rPr>
      </w:pPr>
      <w:r w:rsidRPr="00797EA7">
        <w:rPr>
          <w:lang w:val="cs-CZ"/>
        </w:rPr>
        <w:t xml:space="preserve">Alternativní klasifikace by mohla být následující, zpracovaná M. Pavlovou </w:t>
      </w:r>
      <w:r w:rsidR="003D48C6" w:rsidRPr="00797EA7">
        <w:rPr>
          <w:lang w:val="cs-CZ"/>
        </w:rPr>
        <w:t>(2017)</w:t>
      </w:r>
      <w:r w:rsidRPr="00797EA7">
        <w:rPr>
          <w:lang w:val="cs-CZ"/>
        </w:rPr>
        <w:t>:</w:t>
      </w:r>
    </w:p>
    <w:p w:rsidR="00B04D89" w:rsidRPr="00797EA7" w:rsidRDefault="00A46B5A">
      <w:pPr>
        <w:pStyle w:val="Odstavecseseznamem"/>
        <w:numPr>
          <w:ilvl w:val="0"/>
          <w:numId w:val="36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b/>
          <w:bCs/>
          <w:lang w:val="cs-CZ"/>
        </w:rPr>
        <w:t xml:space="preserve">Klíčové/obecné zelené </w:t>
      </w:r>
      <w:r w:rsidR="00797EA7" w:rsidRPr="00797EA7">
        <w:rPr>
          <w:rFonts w:cstheme="minorHAnsi"/>
          <w:b/>
          <w:bCs/>
          <w:lang w:val="cs-CZ"/>
        </w:rPr>
        <w:t xml:space="preserve">dovednosti </w:t>
      </w:r>
      <w:r w:rsidR="00797EA7" w:rsidRPr="00797EA7">
        <w:rPr>
          <w:rFonts w:cstheme="minorHAnsi"/>
          <w:lang w:val="cs-CZ"/>
        </w:rPr>
        <w:t>– definované</w:t>
      </w:r>
      <w:r w:rsidR="00FF23E9" w:rsidRPr="00797EA7">
        <w:rPr>
          <w:rFonts w:cstheme="minorHAnsi"/>
          <w:lang w:val="cs-CZ"/>
        </w:rPr>
        <w:t xml:space="preserve"> jako obecné zelené dovednosti, které usnadňují přípravu budoucích pracovníků na pochopení problematiky zeleného růstu a na výklad právních předpisů v oblasti životního prostředí za účelem zvýšení energetické účinnosti a účinnosti zdrojů, což následně umožňuje procesy nezbytné pro přechod na zelenější ekonomiku</w:t>
      </w:r>
      <w:r w:rsidRPr="00797EA7">
        <w:rPr>
          <w:rFonts w:cstheme="minorHAnsi"/>
          <w:lang w:val="cs-CZ"/>
        </w:rPr>
        <w:t>,</w:t>
      </w:r>
    </w:p>
    <w:p w:rsidR="00B04D89" w:rsidRPr="00797EA7" w:rsidRDefault="00A46B5A">
      <w:pPr>
        <w:pStyle w:val="Odstavecseseznamem"/>
        <w:numPr>
          <w:ilvl w:val="0"/>
          <w:numId w:val="36"/>
        </w:numPr>
        <w:spacing w:after="200"/>
        <w:jc w:val="both"/>
        <w:rPr>
          <w:rFonts w:cstheme="minorHAnsi"/>
          <w:lang w:val="cs-CZ"/>
        </w:rPr>
      </w:pPr>
      <w:proofErr w:type="spellStart"/>
      <w:r w:rsidRPr="00797EA7">
        <w:rPr>
          <w:rFonts w:cstheme="minorHAnsi"/>
          <w:b/>
          <w:bCs/>
          <w:lang w:val="cs-CZ"/>
        </w:rPr>
        <w:t>Topping</w:t>
      </w:r>
      <w:proofErr w:type="spellEnd"/>
      <w:r w:rsidRPr="00797EA7">
        <w:rPr>
          <w:rFonts w:cstheme="minorHAnsi"/>
          <w:b/>
          <w:bCs/>
          <w:lang w:val="cs-CZ"/>
        </w:rPr>
        <w:t xml:space="preserve">-Up </w:t>
      </w:r>
      <w:proofErr w:type="spellStart"/>
      <w:r w:rsidRPr="00797EA7">
        <w:rPr>
          <w:rFonts w:cstheme="minorHAnsi"/>
          <w:b/>
          <w:bCs/>
          <w:lang w:val="cs-CZ"/>
        </w:rPr>
        <w:t>Skills</w:t>
      </w:r>
      <w:proofErr w:type="spellEnd"/>
      <w:r w:rsidRPr="00797EA7">
        <w:rPr>
          <w:rFonts w:cstheme="minorHAnsi"/>
          <w:b/>
          <w:bCs/>
          <w:lang w:val="cs-CZ"/>
        </w:rPr>
        <w:t xml:space="preserve"> </w:t>
      </w:r>
      <w:r w:rsidRPr="00797EA7">
        <w:rPr>
          <w:rFonts w:cstheme="minorHAnsi"/>
          <w:lang w:val="cs-CZ"/>
        </w:rPr>
        <w:t xml:space="preserve">- "doplnění dovedností pro úkoly ve stávajících profesích o postupy šetrné k životnímu prostředí" </w:t>
      </w:r>
      <w:r w:rsidR="003D48C6" w:rsidRPr="00797EA7">
        <w:rPr>
          <w:rFonts w:cstheme="minorHAnsi"/>
          <w:lang w:val="cs-CZ"/>
        </w:rPr>
        <w:t>(Pavlova, 2017)</w:t>
      </w:r>
      <w:r w:rsidRPr="00797EA7">
        <w:rPr>
          <w:rFonts w:cstheme="minorHAnsi"/>
          <w:lang w:val="cs-CZ"/>
        </w:rPr>
        <w:t>,</w:t>
      </w:r>
    </w:p>
    <w:p w:rsidR="00B04D89" w:rsidRPr="00797EA7" w:rsidRDefault="00A46B5A">
      <w:pPr>
        <w:pStyle w:val="Odstavecseseznamem"/>
        <w:numPr>
          <w:ilvl w:val="0"/>
          <w:numId w:val="36"/>
        </w:num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Specializované zelené </w:t>
      </w:r>
      <w:r w:rsidR="00797EA7" w:rsidRPr="00797EA7">
        <w:rPr>
          <w:rFonts w:cstheme="minorHAnsi"/>
          <w:lang w:val="cs-CZ"/>
        </w:rPr>
        <w:t>dovednosti – které</w:t>
      </w:r>
      <w:r w:rsidR="00C20DBA" w:rsidRPr="00797EA7">
        <w:rPr>
          <w:rFonts w:cstheme="minorHAnsi"/>
          <w:lang w:val="cs-CZ"/>
        </w:rPr>
        <w:t xml:space="preserve"> souvisejí s </w:t>
      </w:r>
      <w:r w:rsidRPr="00797EA7">
        <w:rPr>
          <w:rFonts w:cstheme="minorHAnsi"/>
          <w:lang w:val="cs-CZ"/>
        </w:rPr>
        <w:t>novými zelenými profesemi</w:t>
      </w:r>
      <w:r w:rsidR="00C20DBA"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spacing w:after="20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Kromě toho by se pilíře související se zelenou ekonomikou mohly týkat podpory účinného využívání zdrojů, nízkouhlíkového průmyslu, odolnosti vůči změně klimatu nebo správy přírodního bohatství </w:t>
      </w:r>
      <w:r w:rsidR="003D48C6" w:rsidRPr="00797EA7">
        <w:rPr>
          <w:rFonts w:cstheme="minorHAnsi"/>
          <w:lang w:val="cs-CZ"/>
        </w:rPr>
        <w:t xml:space="preserve">(HM </w:t>
      </w:r>
      <w:proofErr w:type="spellStart"/>
      <w:r w:rsidR="003D48C6" w:rsidRPr="00797EA7">
        <w:rPr>
          <w:rFonts w:cstheme="minorHAnsi"/>
          <w:lang w:val="cs-CZ"/>
        </w:rPr>
        <w:t>Government</w:t>
      </w:r>
      <w:proofErr w:type="spellEnd"/>
      <w:r w:rsidR="003D48C6" w:rsidRPr="00797EA7">
        <w:rPr>
          <w:rFonts w:cstheme="minorHAnsi"/>
          <w:lang w:val="cs-CZ"/>
        </w:rPr>
        <w:t>, 2011)</w:t>
      </w:r>
      <w:r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spacing w:after="200"/>
        <w:jc w:val="both"/>
        <w:rPr>
          <w:rFonts w:cstheme="minorHAnsi"/>
          <w:lang w:val="cs-CZ"/>
        </w:rPr>
      </w:pPr>
      <w:r w:rsidRPr="00797EA7">
        <w:rPr>
          <w:rFonts w:ascii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91DCF" wp14:editId="44B065B7">
                <wp:simplePos x="0" y="0"/>
                <wp:positionH relativeFrom="column">
                  <wp:posOffset>2187575</wp:posOffset>
                </wp:positionH>
                <wp:positionV relativeFrom="paragraph">
                  <wp:posOffset>894080</wp:posOffset>
                </wp:positionV>
                <wp:extent cx="453095" cy="2826489"/>
                <wp:effectExtent l="0" t="329565" r="0" b="551180"/>
                <wp:wrapNone/>
                <wp:docPr id="30" name="Nawias klamrowy otwier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16330">
                          <a:off x="0" y="0"/>
                          <a:ext cx="453095" cy="2826489"/>
                        </a:xfrm>
                        <a:prstGeom prst="leftBrace">
                          <a:avLst>
                            <a:gd name="adj1" fmla="val 8333"/>
                            <a:gd name="adj2" fmla="val 49886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89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5" o:spid="_x0000_s1026" type="#_x0000_t87" style="position:absolute;margin-left:172.25pt;margin-top:70.4pt;width:35.7pt;height:222.55pt;rotation:438690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" adj="289,10775" strokecolor="#00b050" strokeweight="2.25pt">
                <v:stroke joinstyle="miter"/>
              </v:shape>
            </w:pict>
          </mc:Fallback>
        </mc:AlternateContent>
      </w:r>
      <w:r w:rsidR="00E71DF6" w:rsidRPr="00797EA7">
        <w:rPr>
          <w:rFonts w:cstheme="minorHAnsi"/>
          <w:lang w:val="cs-CZ"/>
        </w:rPr>
        <w:t xml:space="preserve">Zelené dovednosti je možné rozdělit s ohledem na problematiku zeleného přechodu (schéma </w:t>
      </w:r>
      <w:r w:rsidR="00877B5C" w:rsidRPr="00797EA7">
        <w:rPr>
          <w:rFonts w:cstheme="minorHAnsi"/>
          <w:lang w:val="cs-CZ"/>
        </w:rPr>
        <w:t>6</w:t>
      </w:r>
      <w:r w:rsidR="00E71DF6" w:rsidRPr="00797EA7">
        <w:rPr>
          <w:rFonts w:cstheme="minorHAnsi"/>
          <w:lang w:val="cs-CZ"/>
        </w:rPr>
        <w:t xml:space="preserve">), některé jsou nové a souvisejí s podporou přechodu, "jiné nejsou nové: zahrnují provádění zavedených činností s výrazným povědomím a porozuměním zelené ekonomice" </w:t>
      </w:r>
      <w:r w:rsidR="00B14430" w:rsidRPr="00797EA7">
        <w:rPr>
          <w:rFonts w:cstheme="minorHAnsi"/>
          <w:lang w:val="cs-CZ"/>
        </w:rPr>
        <w:t xml:space="preserve">(HM </w:t>
      </w:r>
      <w:proofErr w:type="spellStart"/>
      <w:r w:rsidR="00B14430" w:rsidRPr="00797EA7">
        <w:rPr>
          <w:rFonts w:cstheme="minorHAnsi"/>
          <w:lang w:val="cs-CZ"/>
        </w:rPr>
        <w:t>Government</w:t>
      </w:r>
      <w:proofErr w:type="spellEnd"/>
      <w:r w:rsidR="00B14430" w:rsidRPr="00797EA7">
        <w:rPr>
          <w:rFonts w:cstheme="minorHAnsi"/>
          <w:lang w:val="cs-CZ"/>
        </w:rPr>
        <w:t>, 2011)</w:t>
      </w:r>
      <w:r w:rsidR="00E71DF6" w:rsidRPr="00797EA7">
        <w:rPr>
          <w:rFonts w:cstheme="minorHAnsi"/>
          <w:lang w:val="cs-CZ"/>
        </w:rPr>
        <w:t>. Je třeba také zdůraznit, že specifika zelených dovedností budou jiná v počáteční fázi zeleného přechodu (kdy budou nutná opatření, zaměřená na ekologizaci tradičních odvětví, zavádění zelených výrobků a služeb) a jiná v éře dosažení cíle zelené ekonomiky.</w:t>
      </w:r>
    </w:p>
    <w:p w:rsidR="00B04D89" w:rsidRPr="00797EA7" w:rsidRDefault="00A46B5A">
      <w:pPr>
        <w:pStyle w:val="Titulek"/>
        <w:rPr>
          <w:i w:val="0"/>
          <w:iCs w:val="0"/>
          <w:color w:val="FF0000"/>
          <w:sz w:val="24"/>
          <w:szCs w:val="24"/>
          <w:lang w:val="cs-CZ"/>
        </w:rPr>
      </w:pPr>
      <w:bookmarkStart w:id="10" w:name="_Toc109046993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Schéma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Scheme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877B5C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6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. 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>Zelené dovednosti v procesech přechodu k rozvoji zelené ekonomiky</w:t>
      </w:r>
      <w:bookmarkEnd w:id="10"/>
    </w:p>
    <w:p w:rsidR="00B04D89" w:rsidRPr="00797EA7" w:rsidRDefault="00696AE5">
      <w:pPr>
        <w:rPr>
          <w:rFonts w:cstheme="minorHAnsi"/>
          <w:color w:val="FF0000"/>
          <w:sz w:val="20"/>
          <w:szCs w:val="20"/>
          <w:lang w:val="cs-CZ"/>
        </w:rPr>
      </w:pPr>
      <w:r w:rsidRPr="00797EA7">
        <w:rPr>
          <w:rFonts w:ascii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AFD16" wp14:editId="2632B1D2">
                <wp:simplePos x="0" y="0"/>
                <wp:positionH relativeFrom="column">
                  <wp:posOffset>1405255</wp:posOffset>
                </wp:positionH>
                <wp:positionV relativeFrom="paragraph">
                  <wp:posOffset>12700</wp:posOffset>
                </wp:positionV>
                <wp:extent cx="1676076" cy="368935"/>
                <wp:effectExtent l="0" t="323850" r="0" b="332105"/>
                <wp:wrapNone/>
                <wp:docPr id="7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8894">
                          <a:off x="0" y="0"/>
                          <a:ext cx="1676076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B74D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</w:rPr>
                              <w:t>Zelené dovednosti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AFD16" id="pole tekstowe 6" o:spid="_x0000_s1047" type="#_x0000_t202" style="position:absolute;margin-left:110.65pt;margin-top:1pt;width:131.95pt;height:29.05pt;rotation:-1475768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" filled="f" strokecolor="#92d050">
                <v:textbox style="mso-fit-shape-to-text:t">
                  <w:txbxContent>
                    <w:p w:rsidR="00797EA7" w:rsidRDefault="00797EA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B74DAC"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</w:rPr>
                        <w:t>Zelené dovednosti</w:t>
                      </w:r>
                    </w:p>
                  </w:txbxContent>
                </v:textbox>
              </v:shape>
            </w:pict>
          </mc:Fallback>
        </mc:AlternateContent>
      </w:r>
      <w:r w:rsidR="00A46B5A" w:rsidRPr="00797EA7">
        <w:rPr>
          <w:rFonts w:ascii="Times New Roman" w:hAnsi="Times New Roman" w:cs="Times New Roman"/>
          <w:noProof/>
          <w:lang w:val="cs-CZ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432D3" wp14:editId="19D3BAD0">
                <wp:simplePos x="0" y="0"/>
                <wp:positionH relativeFrom="column">
                  <wp:posOffset>2420303</wp:posOffset>
                </wp:positionH>
                <wp:positionV relativeFrom="paragraph">
                  <wp:posOffset>752157</wp:posOffset>
                </wp:positionV>
                <wp:extent cx="456384" cy="1854835"/>
                <wp:effectExtent l="0" t="375603" r="0" b="159067"/>
                <wp:wrapNone/>
                <wp:docPr id="31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0972">
                          <a:off x="0" y="0"/>
                          <a:ext cx="456384" cy="1854835"/>
                        </a:xfrm>
                        <a:prstGeom prst="rightBrace">
                          <a:avLst>
                            <a:gd name="adj1" fmla="val 8333"/>
                            <a:gd name="adj2" fmla="val 5001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AE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3" o:spid="_x0000_s1026" type="#_x0000_t88" style="position:absolute;margin-left:190.6pt;margin-top:59.2pt;width:35.95pt;height:146.05pt;rotation:433736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" adj="443,10802" strokecolor="black [3213]" strokeweight="1.5pt">
                <v:stroke joinstyle="miter"/>
              </v:shape>
            </w:pict>
          </mc:Fallback>
        </mc:AlternateContent>
      </w:r>
      <w:r w:rsidR="00D57CF6" w:rsidRPr="00797EA7">
        <w:rPr>
          <w:rFonts w:ascii="Times New Roman" w:hAnsi="Times New Roman" w:cs="Times New Roman"/>
          <w:noProof/>
          <w:sz w:val="18"/>
          <w:szCs w:val="18"/>
          <w:lang w:val="cs-CZ" w:eastAsia="pl-PL"/>
        </w:rPr>
        <w:drawing>
          <wp:inline distT="0" distB="0" distL="0" distR="0" wp14:anchorId="4669860E" wp14:editId="3BC10983">
            <wp:extent cx="5755640" cy="1807535"/>
            <wp:effectExtent l="0" t="0" r="0" b="4064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04D89" w:rsidRPr="00797EA7" w:rsidRDefault="00A46B5A">
      <w:pPr>
        <w:rPr>
          <w:rFonts w:cstheme="minorHAnsi"/>
          <w:color w:val="FF0000"/>
          <w:sz w:val="20"/>
          <w:szCs w:val="20"/>
          <w:lang w:val="cs-CZ"/>
        </w:rPr>
      </w:pPr>
      <w:r w:rsidRPr="00797EA7">
        <w:rPr>
          <w:noProof/>
          <w:lang w:val="cs-CZ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9CA02" wp14:editId="2CB63D66">
                <wp:simplePos x="0" y="0"/>
                <wp:positionH relativeFrom="column">
                  <wp:posOffset>2165985</wp:posOffset>
                </wp:positionH>
                <wp:positionV relativeFrom="paragraph">
                  <wp:posOffset>69215</wp:posOffset>
                </wp:positionV>
                <wp:extent cx="1261812" cy="383540"/>
                <wp:effectExtent l="19050" t="266700" r="14605" b="262255"/>
                <wp:wrapNone/>
                <wp:docPr id="3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0048">
                          <a:off x="0" y="0"/>
                          <a:ext cx="1261812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4DAC">
                              <w:rPr>
                                <w:rFonts w:asciiTheme="minorHAnsi" w:hAnsi="Calibri" w:cstheme="minorBidi"/>
                                <w:kern w:val="24"/>
                              </w:rPr>
                              <w:t>Zelený přechod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9CA02" id="pole tekstowe 4" o:spid="_x0000_s1048" type="#_x0000_t202" style="position:absolute;margin-left:170.55pt;margin-top:5.45pt;width:99.35pt;height:30.2pt;rotation:-1583734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" filled="f" strokecolor="#538135 [2409]" strokeweight="1pt">
                <v:textbox style="mso-fit-shape-to-text:t">
                  <w:txbxContent>
                    <w:p w:rsidR="00797EA7" w:rsidRDefault="00797EA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74DAC">
                        <w:rPr>
                          <w:rFonts w:asciiTheme="minorHAnsi" w:hAnsi="Calibri" w:cstheme="minorBidi"/>
                          <w:kern w:val="24"/>
                        </w:rPr>
                        <w:t>Zelený přechod</w:t>
                      </w:r>
                    </w:p>
                  </w:txbxContent>
                </v:textbox>
              </v:shape>
            </w:pict>
          </mc:Fallback>
        </mc:AlternateContent>
      </w:r>
    </w:p>
    <w:p w:rsidR="004F300B" w:rsidRPr="00797EA7" w:rsidRDefault="004F300B" w:rsidP="004F300B">
      <w:pPr>
        <w:rPr>
          <w:rFonts w:cstheme="minorHAnsi"/>
          <w:color w:val="FF0000"/>
          <w:sz w:val="20"/>
          <w:szCs w:val="20"/>
          <w:lang w:val="cs-CZ"/>
        </w:rPr>
      </w:pPr>
    </w:p>
    <w:p w:rsidR="004F300B" w:rsidRPr="00797EA7" w:rsidRDefault="004F300B" w:rsidP="004F300B">
      <w:pPr>
        <w:rPr>
          <w:rFonts w:cstheme="minorHAnsi"/>
          <w:color w:val="FF0000"/>
          <w:sz w:val="20"/>
          <w:szCs w:val="20"/>
          <w:lang w:val="cs-CZ"/>
        </w:rPr>
      </w:pPr>
    </w:p>
    <w:p w:rsidR="004F300B" w:rsidRPr="00797EA7" w:rsidRDefault="004F300B" w:rsidP="004F300B">
      <w:pPr>
        <w:rPr>
          <w:rFonts w:cstheme="minorHAnsi"/>
          <w:color w:val="FF0000"/>
          <w:sz w:val="20"/>
          <w:szCs w:val="20"/>
          <w:lang w:val="cs-CZ"/>
        </w:rPr>
      </w:pPr>
    </w:p>
    <w:p w:rsidR="00B04D89" w:rsidRPr="00797EA7" w:rsidRDefault="00A46B5A">
      <w:pPr>
        <w:spacing w:after="200"/>
        <w:rPr>
          <w:lang w:val="cs-CZ"/>
        </w:rPr>
      </w:pPr>
      <w:r w:rsidRPr="00797EA7">
        <w:rPr>
          <w:rFonts w:cstheme="minorHAnsi"/>
          <w:sz w:val="20"/>
          <w:szCs w:val="20"/>
          <w:lang w:val="cs-CZ"/>
        </w:rPr>
        <w:t>Zdroj: vlastní zpracování</w:t>
      </w:r>
    </w:p>
    <w:p w:rsidR="00B04D89" w:rsidRPr="00797EA7" w:rsidRDefault="00A46B5A">
      <w:pPr>
        <w:jc w:val="both"/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</w:pPr>
      <w:bookmarkStart w:id="11" w:name="_Hlk117683469"/>
      <w:r w:rsidRPr="00797EA7">
        <w:rPr>
          <w:lang w:val="cs-CZ"/>
        </w:rPr>
        <w:t xml:space="preserve">S ohledem na výše uvedené poznámky týkající se definice a klasifikace zelených dovedností je třeba zdůraznit, že </w:t>
      </w:r>
      <w:r w:rsidRPr="00797EA7">
        <w:rPr>
          <w:b/>
          <w:bCs/>
          <w:lang w:val="cs-CZ"/>
        </w:rPr>
        <w:t xml:space="preserve">definice zelených dovedností </w:t>
      </w:r>
      <w:r w:rsidRPr="00797EA7">
        <w:rPr>
          <w:lang w:val="cs-CZ"/>
        </w:rPr>
        <w:t xml:space="preserve">je navržena takto: zelené dovednosti jsou </w:t>
      </w:r>
      <w:r w:rsidRPr="00797EA7">
        <w:rPr>
          <w:lang w:val="cs-CZ"/>
        </w:rPr>
        <w:lastRenderedPageBreak/>
        <w:t>dovednosti potřebné ve všech sektorech, ve všech typech organizací (vládních, nevládních, podnikatelských atd.), které by měly na jedné straně pomoci pochopit problematiku zeleného přechodu a umožnit jeho realizaci (včetně nutných změn souvisejících s právními, finančními, administrativními, řídícími nástroji) a na druhé straně umožnit rozvíjet environmentálně šetrná řešení ve výrobních, spotřebních a investičních procesech, vytvářet a nabízet environmentálně šetrné výrobky a služby.</w:t>
      </w:r>
      <w:bookmarkEnd w:id="11"/>
      <w:r w:rsidR="005D7DEB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br w:type="column"/>
      </w:r>
      <w:bookmarkStart w:id="12" w:name="_Hlk117681757"/>
      <w:r w:rsidR="00B522E7" w:rsidRPr="00797EA7">
        <w:rPr>
          <w:rStyle w:val="spellingerror"/>
          <w:rFonts w:ascii="Calibri" w:eastAsiaTheme="majorEastAsia" w:hAnsi="Calibri" w:cs="Calibri"/>
          <w:b/>
          <w:bCs/>
          <w:color w:val="538135" w:themeColor="accent6" w:themeShade="BF"/>
          <w:sz w:val="32"/>
          <w:szCs w:val="32"/>
          <w:lang w:val="cs-CZ"/>
        </w:rPr>
        <w:lastRenderedPageBreak/>
        <w:t xml:space="preserve">Kapitola </w:t>
      </w:r>
      <w:r w:rsidR="00C97F43" w:rsidRPr="00797EA7">
        <w:rPr>
          <w:rStyle w:val="spellingerror"/>
          <w:rFonts w:ascii="Calibri" w:eastAsiaTheme="majorEastAsia" w:hAnsi="Calibri" w:cs="Calibri"/>
          <w:b/>
          <w:bCs/>
          <w:color w:val="538135" w:themeColor="accent6" w:themeShade="BF"/>
          <w:sz w:val="32"/>
          <w:szCs w:val="32"/>
          <w:lang w:val="cs-CZ"/>
        </w:rPr>
        <w:t>3</w:t>
      </w:r>
      <w:r w:rsidR="00B522E7" w:rsidRPr="00797EA7">
        <w:rPr>
          <w:rStyle w:val="spellingerror"/>
          <w:rFonts w:ascii="Calibri" w:eastAsiaTheme="majorEastAsia" w:hAnsi="Calibri" w:cs="Calibri"/>
          <w:b/>
          <w:bCs/>
          <w:color w:val="538135" w:themeColor="accent6" w:themeShade="BF"/>
          <w:sz w:val="32"/>
          <w:szCs w:val="32"/>
          <w:lang w:val="cs-CZ"/>
        </w:rPr>
        <w:t xml:space="preserve">. </w:t>
      </w:r>
      <w:r w:rsidR="00A713CE" w:rsidRPr="00797EA7">
        <w:rPr>
          <w:rStyle w:val="spellingerror"/>
          <w:rFonts w:ascii="Calibri" w:eastAsiaTheme="majorEastAsia" w:hAnsi="Calibri" w:cs="Calibri"/>
          <w:b/>
          <w:bCs/>
          <w:color w:val="538135" w:themeColor="accent6" w:themeShade="BF"/>
          <w:sz w:val="32"/>
          <w:szCs w:val="32"/>
          <w:lang w:val="cs-CZ"/>
        </w:rPr>
        <w:t>Úloha vzdělávání v rozvoji ekologických dovedností</w:t>
      </w:r>
      <w:bookmarkEnd w:id="12"/>
    </w:p>
    <w:p w:rsidR="00C1172E" w:rsidRPr="00797EA7" w:rsidRDefault="00C1172E" w:rsidP="00C1172E">
      <w:pPr>
        <w:spacing w:before="120" w:after="120"/>
        <w:rPr>
          <w:lang w:val="cs-CZ"/>
        </w:rPr>
      </w:pPr>
    </w:p>
    <w:p w:rsidR="00B04D89" w:rsidRPr="00797EA7" w:rsidRDefault="00A46B5A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Sociální participace a občanská rozumnost jsou zahrnuty do osmi klíčových kompetencí referenčního rámce definovaných Evropským parlamentem a Radou </w:t>
      </w:r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>(2006)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Očekává se, že studenti mohou získat "občanské" kompetence spolu s environmentálním povědomím a povědomím o udržitelnosti a podnikatelské vzdělávání zahrnující důraz na analytické, hodnotící a tvůrčí schopnosti </w:t>
      </w:r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 xml:space="preserve">(Anderson &amp; </w:t>
      </w:r>
      <w:proofErr w:type="spellStart"/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>Krathwohl</w:t>
      </w:r>
      <w:proofErr w:type="spellEnd"/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 xml:space="preserve">, 2001) 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v sobě skrývají také potenciál posílit aktivní občanství pro udržitelnost </w:t>
      </w:r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>(</w:t>
      </w:r>
      <w:proofErr w:type="spellStart"/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>Mets</w:t>
      </w:r>
      <w:proofErr w:type="spellEnd"/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gramStart"/>
      <w:r w:rsidR="00B50D1D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>et al. ,</w:t>
      </w:r>
      <w:proofErr w:type="gramEnd"/>
      <w:r w:rsidR="00B50D1D" w:rsidRPr="00797EA7">
        <w:rPr>
          <w:rFonts w:asciiTheme="minorHAnsi" w:hAnsiTheme="minorHAnsi" w:cstheme="minorHAnsi"/>
          <w:i/>
          <w:iCs/>
          <w:color w:val="000000" w:themeColor="text1"/>
          <w:lang w:val="cs-CZ"/>
        </w:rPr>
        <w:t xml:space="preserve"> </w:t>
      </w:r>
      <w:r w:rsidR="00B50D1D" w:rsidRPr="00797EA7">
        <w:rPr>
          <w:rFonts w:asciiTheme="minorHAnsi" w:hAnsiTheme="minorHAnsi" w:cstheme="minorHAnsi"/>
          <w:color w:val="000000" w:themeColor="text1"/>
          <w:lang w:val="cs-CZ"/>
        </w:rPr>
        <w:t>2021)</w:t>
      </w:r>
      <w:r w:rsidRPr="00797EA7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</w:p>
    <w:p w:rsidR="00B04D89" w:rsidRPr="00797EA7" w:rsidRDefault="00A46B5A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797EA7">
        <w:rPr>
          <w:rFonts w:cstheme="minorHAnsi"/>
          <w:color w:val="000000" w:themeColor="text1"/>
          <w:lang w:val="cs-CZ"/>
        </w:rPr>
        <w:t>Vzhledem k tomu, že ve vzdělávání v oblasti sociálního podnikání jde nejen o přenos abstraktních znalostí o kompetencích k identifikaci příležitostí na sociálním trhu z učitele na studenty (jako jsou definice, rámce, teorie), ale také o ducha/p</w:t>
      </w:r>
      <w:r w:rsidR="004C2D7E" w:rsidRPr="00797EA7">
        <w:rPr>
          <w:rFonts w:cstheme="minorHAnsi"/>
          <w:color w:val="000000" w:themeColor="text1"/>
          <w:lang w:val="cs-CZ"/>
        </w:rPr>
        <w:t>r</w:t>
      </w:r>
      <w:r w:rsidRPr="00797EA7">
        <w:rPr>
          <w:rFonts w:cstheme="minorHAnsi"/>
          <w:color w:val="000000" w:themeColor="text1"/>
          <w:lang w:val="cs-CZ"/>
        </w:rPr>
        <w:t xml:space="preserve">edispozice/nastavení mysli/vášeň/dovednosti/připravenost zapojit se do zakládání sociálních podniků jako výsledek procesu sociálního učení </w:t>
      </w:r>
      <w:r w:rsidR="000A0E40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0A0E40" w:rsidRPr="00797EA7">
        <w:rPr>
          <w:rFonts w:cstheme="minorHAnsi"/>
          <w:color w:val="000000" w:themeColor="text1"/>
          <w:lang w:val="cs-CZ"/>
        </w:rPr>
        <w:t>Douglas</w:t>
      </w:r>
      <w:proofErr w:type="spellEnd"/>
      <w:r w:rsidR="000A0E40" w:rsidRPr="00797EA7">
        <w:rPr>
          <w:rFonts w:cstheme="minorHAnsi"/>
          <w:color w:val="000000" w:themeColor="text1"/>
          <w:lang w:val="cs-CZ"/>
        </w:rPr>
        <w:t xml:space="preserve">, 2015), </w:t>
      </w:r>
      <w:r w:rsidRPr="00797EA7">
        <w:rPr>
          <w:rFonts w:cstheme="minorHAnsi"/>
          <w:color w:val="000000" w:themeColor="text1"/>
          <w:lang w:val="cs-CZ"/>
        </w:rPr>
        <w:t>je velká role spoluvytváření sdílených komunit praxe studenty označována za stimulátor "náchylnosti studentů k zakládání sociálních podniků" 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Hockerts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>, 2018)</w:t>
      </w:r>
      <w:r w:rsidRPr="00797EA7">
        <w:rPr>
          <w:rFonts w:cstheme="minorHAnsi"/>
          <w:color w:val="000000" w:themeColor="text1"/>
          <w:lang w:val="cs-CZ"/>
        </w:rPr>
        <w:t xml:space="preserve">. Učení vnímané jako kognitivní i sociální proces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Gherardi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 xml:space="preserve"> </w:t>
      </w:r>
      <w:proofErr w:type="gramStart"/>
      <w:r w:rsidR="00E72278" w:rsidRPr="00797EA7">
        <w:rPr>
          <w:rFonts w:cstheme="minorHAnsi"/>
          <w:i/>
          <w:iCs/>
          <w:color w:val="000000" w:themeColor="text1"/>
          <w:lang w:val="cs-CZ"/>
        </w:rPr>
        <w:t xml:space="preserve">et al. </w:t>
      </w:r>
      <w:r w:rsidR="00E72278" w:rsidRPr="00797EA7">
        <w:rPr>
          <w:rFonts w:cstheme="minorHAnsi"/>
          <w:color w:val="000000" w:themeColor="text1"/>
          <w:lang w:val="cs-CZ"/>
        </w:rPr>
        <w:t>,</w:t>
      </w:r>
      <w:proofErr w:type="gramEnd"/>
      <w:r w:rsidR="00E72278" w:rsidRPr="00797EA7">
        <w:rPr>
          <w:rFonts w:cstheme="minorHAnsi"/>
          <w:color w:val="000000" w:themeColor="text1"/>
          <w:lang w:val="cs-CZ"/>
        </w:rPr>
        <w:t xml:space="preserve"> 1998) </w:t>
      </w:r>
      <w:r w:rsidRPr="00797EA7">
        <w:rPr>
          <w:rFonts w:cstheme="minorHAnsi"/>
          <w:color w:val="000000" w:themeColor="text1"/>
          <w:lang w:val="cs-CZ"/>
        </w:rPr>
        <w:t xml:space="preserve">"vyžaduje kolektivní a nezávislé akce", které by studentům přinesly porozumění a sociálního ducha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Branzei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 xml:space="preserve"> &amp; </w:t>
      </w:r>
      <w:proofErr w:type="spellStart"/>
      <w:r w:rsidR="00E72278" w:rsidRPr="00797EA7">
        <w:rPr>
          <w:rFonts w:cstheme="minorHAnsi"/>
          <w:lang w:val="cs-CZ"/>
        </w:rPr>
        <w:t>Fredette</w:t>
      </w:r>
      <w:proofErr w:type="spellEnd"/>
      <w:r w:rsidR="00E72278" w:rsidRPr="00797EA7">
        <w:rPr>
          <w:rFonts w:cstheme="minorHAnsi"/>
          <w:lang w:val="cs-CZ"/>
        </w:rPr>
        <w:t xml:space="preserve">, 2008; </w:t>
      </w:r>
      <w:proofErr w:type="spellStart"/>
      <w:r w:rsidR="00E72278" w:rsidRPr="00797EA7">
        <w:rPr>
          <w:rFonts w:cstheme="minorHAnsi"/>
          <w:lang w:val="cs-CZ"/>
        </w:rPr>
        <w:t>Dewey</w:t>
      </w:r>
      <w:proofErr w:type="spellEnd"/>
      <w:r w:rsidR="00E72278" w:rsidRPr="00797EA7">
        <w:rPr>
          <w:rFonts w:cstheme="minorHAnsi"/>
          <w:lang w:val="cs-CZ"/>
        </w:rPr>
        <w:t>, 1938</w:t>
      </w:r>
      <w:r w:rsidR="00E72278" w:rsidRPr="00797EA7">
        <w:rPr>
          <w:rFonts w:cstheme="minorHAnsi"/>
          <w:color w:val="000000" w:themeColor="text1"/>
          <w:lang w:val="cs-CZ"/>
        </w:rPr>
        <w:t>)</w:t>
      </w:r>
      <w:r w:rsidRPr="00797EA7">
        <w:rPr>
          <w:rFonts w:cstheme="minorHAnsi"/>
          <w:color w:val="000000" w:themeColor="text1"/>
          <w:lang w:val="cs-CZ"/>
        </w:rPr>
        <w:t xml:space="preserve">. Teorie sociálního učení šířené prostřednictvím učení v pracovních komunitách praxe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Wenger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 xml:space="preserve">, 1998) mají </w:t>
      </w:r>
      <w:r w:rsidRPr="00797EA7">
        <w:rPr>
          <w:rFonts w:cstheme="minorHAnsi"/>
          <w:color w:val="000000" w:themeColor="text1"/>
          <w:lang w:val="cs-CZ"/>
        </w:rPr>
        <w:t xml:space="preserve">vliv na chápání vzdělávání v oblasti managementu ve třídě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Kolb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 xml:space="preserve"> &amp; 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Kolb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 xml:space="preserve">, 2005), </w:t>
      </w:r>
      <w:r w:rsidRPr="00797EA7">
        <w:rPr>
          <w:rFonts w:cstheme="minorHAnsi"/>
          <w:color w:val="000000" w:themeColor="text1"/>
          <w:lang w:val="cs-CZ"/>
        </w:rPr>
        <w:t xml:space="preserve">a zejména na vzdělávání v oblasti sociálního podnikání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Howorth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 xml:space="preserve"> </w:t>
      </w:r>
      <w:proofErr w:type="gramStart"/>
      <w:r w:rsidR="00E72278" w:rsidRPr="00797EA7">
        <w:rPr>
          <w:rFonts w:cstheme="minorHAnsi"/>
          <w:i/>
          <w:iCs/>
          <w:color w:val="000000" w:themeColor="text1"/>
          <w:lang w:val="cs-CZ"/>
        </w:rPr>
        <w:t xml:space="preserve">et al. </w:t>
      </w:r>
      <w:r w:rsidR="00E72278" w:rsidRPr="00797EA7">
        <w:rPr>
          <w:rFonts w:cstheme="minorHAnsi"/>
          <w:color w:val="000000" w:themeColor="text1"/>
          <w:lang w:val="cs-CZ"/>
        </w:rPr>
        <w:t>,</w:t>
      </w:r>
      <w:proofErr w:type="gramEnd"/>
      <w:r w:rsidR="00E72278" w:rsidRPr="00797EA7">
        <w:rPr>
          <w:rFonts w:cstheme="minorHAnsi"/>
          <w:color w:val="000000" w:themeColor="text1"/>
          <w:lang w:val="cs-CZ"/>
        </w:rPr>
        <w:t xml:space="preserve"> 2012)</w:t>
      </w:r>
      <w:r w:rsidRPr="00797EA7">
        <w:rPr>
          <w:rFonts w:cstheme="minorHAnsi"/>
          <w:color w:val="000000" w:themeColor="text1"/>
          <w:lang w:val="cs-CZ"/>
        </w:rPr>
        <w:t xml:space="preserve">. Podle teoretiků sociálního učení získávají jedinci znalosti pozorováním, napodobováním a modelováním </w:t>
      </w:r>
      <w:r w:rsidR="00E72278" w:rsidRPr="00797EA7">
        <w:rPr>
          <w:rFonts w:cstheme="minorHAnsi"/>
          <w:color w:val="000000" w:themeColor="text1"/>
          <w:lang w:val="cs-CZ"/>
        </w:rPr>
        <w:t xml:space="preserve">chování </w:t>
      </w:r>
      <w:r w:rsidRPr="00797EA7">
        <w:rPr>
          <w:rFonts w:cstheme="minorHAnsi"/>
          <w:color w:val="000000" w:themeColor="text1"/>
          <w:lang w:val="cs-CZ"/>
        </w:rPr>
        <w:t xml:space="preserve">jiných </w:t>
      </w:r>
      <w:r w:rsidR="00E72278" w:rsidRPr="00797EA7">
        <w:rPr>
          <w:rFonts w:cstheme="minorHAnsi"/>
          <w:color w:val="000000" w:themeColor="text1"/>
          <w:lang w:val="cs-CZ"/>
        </w:rPr>
        <w:t>(Bandura, 1971)</w:t>
      </w:r>
      <w:r w:rsidRPr="00797EA7">
        <w:rPr>
          <w:rFonts w:cstheme="minorHAnsi"/>
          <w:color w:val="000000" w:themeColor="text1"/>
          <w:lang w:val="cs-CZ"/>
        </w:rPr>
        <w:t xml:space="preserve">. A základem takového učení jsou komunity, které poskytují prostředí pro pozorování chování, interakce se zúčastněnými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Wenger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>, 1998)</w:t>
      </w:r>
      <w:r w:rsidRPr="00797EA7">
        <w:rPr>
          <w:rFonts w:cstheme="minorHAnsi"/>
          <w:color w:val="000000" w:themeColor="text1"/>
          <w:lang w:val="cs-CZ"/>
        </w:rPr>
        <w:t xml:space="preserve">. Tyto učební komunity </w:t>
      </w:r>
      <w:r w:rsidR="00E72278" w:rsidRPr="00797EA7">
        <w:rPr>
          <w:rFonts w:cstheme="minorHAnsi"/>
          <w:color w:val="000000" w:themeColor="text1"/>
          <w:lang w:val="cs-CZ"/>
        </w:rPr>
        <w:t xml:space="preserve">(Graves, 1992) </w:t>
      </w:r>
      <w:r w:rsidRPr="00797EA7">
        <w:rPr>
          <w:rFonts w:cstheme="minorHAnsi"/>
          <w:color w:val="000000" w:themeColor="text1"/>
          <w:lang w:val="cs-CZ"/>
        </w:rPr>
        <w:t xml:space="preserve">mají za cíl vyvolat potenciál sociálních vztahů mezi experty a žáky, aby stimulovaly inovativní formáty participativních a interaktivních učebních aktivit (učitelé spíše jako </w:t>
      </w:r>
      <w:proofErr w:type="spellStart"/>
      <w:r w:rsidRPr="00797EA7">
        <w:rPr>
          <w:rFonts w:cstheme="minorHAnsi"/>
          <w:color w:val="000000" w:themeColor="text1"/>
          <w:lang w:val="cs-CZ"/>
        </w:rPr>
        <w:t>facilitátoři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, kteří se účastní na rovném hřišti, jsou znalí a neznalí v některých oblastech). Aby se studenti mohli podílet na procesu učení, je nezbytné, aby nejprve získali určité znalosti, vžili se do určitých postupů studované oblasti a poté o nich a procesu učení přemýšleli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lang w:val="cs-CZ"/>
        </w:rPr>
        <w:t>Howorth</w:t>
      </w:r>
      <w:proofErr w:type="spellEnd"/>
      <w:r w:rsidR="00E72278" w:rsidRPr="00797EA7">
        <w:rPr>
          <w:rFonts w:cstheme="minorHAnsi"/>
          <w:lang w:val="cs-CZ"/>
        </w:rPr>
        <w:t xml:space="preserve"> </w:t>
      </w:r>
      <w:proofErr w:type="gramStart"/>
      <w:r w:rsidR="00E72278" w:rsidRPr="00797EA7">
        <w:rPr>
          <w:rFonts w:cstheme="minorHAnsi"/>
          <w:i/>
          <w:iCs/>
          <w:lang w:val="cs-CZ"/>
        </w:rPr>
        <w:t xml:space="preserve">et al. </w:t>
      </w:r>
      <w:r w:rsidR="00E72278" w:rsidRPr="00797EA7">
        <w:rPr>
          <w:rFonts w:cstheme="minorHAnsi"/>
          <w:lang w:val="cs-CZ"/>
        </w:rPr>
        <w:t>,</w:t>
      </w:r>
      <w:proofErr w:type="gramEnd"/>
      <w:r w:rsidR="00E72278" w:rsidRPr="00797EA7">
        <w:rPr>
          <w:rFonts w:cstheme="minorHAnsi"/>
          <w:lang w:val="cs-CZ"/>
        </w:rPr>
        <w:t xml:space="preserve"> 2012)</w:t>
      </w:r>
      <w:r w:rsidRPr="00797EA7">
        <w:rPr>
          <w:rFonts w:cstheme="minorHAnsi"/>
          <w:color w:val="000000" w:themeColor="text1"/>
          <w:lang w:val="cs-CZ"/>
        </w:rPr>
        <w:t xml:space="preserve">. Proto budování formy učebních prostorů učiteli, které podporují konverzační učení, rozvoj odborných znalostí, procvičování a reflexi, cítění a myšlení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Hockerts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>, 2018)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. </w:t>
      </w:r>
      <w:r w:rsidRPr="00797EA7">
        <w:rPr>
          <w:rFonts w:cstheme="minorHAnsi"/>
          <w:color w:val="000000" w:themeColor="text1"/>
          <w:lang w:val="cs-CZ"/>
        </w:rPr>
        <w:t xml:space="preserve">Běžnou metodou/nástrojem je rozdělení studentů do malých pracovních skupin, v </w:t>
      </w:r>
      <w:proofErr w:type="gramStart"/>
      <w:r w:rsidRPr="00797EA7">
        <w:rPr>
          <w:rFonts w:cstheme="minorHAnsi"/>
          <w:color w:val="000000" w:themeColor="text1"/>
          <w:lang w:val="cs-CZ"/>
        </w:rPr>
        <w:t>rámci</w:t>
      </w:r>
      <w:proofErr w:type="gramEnd"/>
      <w:r w:rsidRPr="00797EA7">
        <w:rPr>
          <w:rFonts w:cstheme="minorHAnsi"/>
          <w:color w:val="000000" w:themeColor="text1"/>
          <w:lang w:val="cs-CZ"/>
        </w:rPr>
        <w:t xml:space="preserve"> kterých dostanou úkoly k řešení, po předložení úkolu učitel ustoupí stranou a nechá studenty organizovat "vlastní společenství znalostí" jako prostor pro výměnu myšlenek, kladení otázek, kritiku, diskusi a vytváření konsenzu. Skupiny mohou také interně sdílet a zkoumat vybrané rozměry tématu/úkolu, aby se pak podělily o své odborné znalosti s celou skupinou (studenti jsou sami sobě učiteli; vynikají v debatách, v řešení neshod). Student se tak stává aktivním účastníkem vzdělávacího procesu (přemýšlí, nikoli pouze reprodukuje) </w:t>
      </w:r>
      <w:r w:rsidR="00E72278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E72278" w:rsidRPr="00797EA7">
        <w:rPr>
          <w:rFonts w:cstheme="minorHAnsi"/>
          <w:color w:val="000000" w:themeColor="text1"/>
          <w:lang w:val="cs-CZ"/>
        </w:rPr>
        <w:t>Rifkin</w:t>
      </w:r>
      <w:proofErr w:type="spellEnd"/>
      <w:r w:rsidR="00E72278" w:rsidRPr="00797EA7">
        <w:rPr>
          <w:rFonts w:cstheme="minorHAnsi"/>
          <w:color w:val="000000" w:themeColor="text1"/>
          <w:lang w:val="cs-CZ"/>
        </w:rPr>
        <w:t>, 2012)</w:t>
      </w:r>
      <w:r w:rsidRPr="00797EA7">
        <w:rPr>
          <w:rFonts w:cstheme="minorHAnsi"/>
          <w:color w:val="000000" w:themeColor="text1"/>
          <w:lang w:val="cs-CZ"/>
        </w:rPr>
        <w:t>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Roli zde hraje druh ateliérové výuky </w:t>
      </w:r>
      <w:r w:rsidR="00C159D9" w:rsidRPr="00797EA7">
        <w:rPr>
          <w:rFonts w:eastAsia="Times New Roman" w:cstheme="minorHAnsi"/>
          <w:color w:val="000000" w:themeColor="text1"/>
          <w:lang w:val="cs-CZ" w:eastAsia="pl-PL"/>
        </w:rPr>
        <w:t>(</w:t>
      </w:r>
      <w:proofErr w:type="spellStart"/>
      <w:r w:rsidR="00C159D9" w:rsidRPr="00797EA7">
        <w:rPr>
          <w:rFonts w:eastAsia="Times New Roman" w:cstheme="minorHAnsi"/>
          <w:color w:val="000000" w:themeColor="text1"/>
          <w:lang w:val="cs-CZ" w:eastAsia="pl-PL"/>
        </w:rPr>
        <w:t>Barry</w:t>
      </w:r>
      <w:proofErr w:type="spellEnd"/>
      <w:r w:rsidR="00C159D9" w:rsidRPr="00797EA7">
        <w:rPr>
          <w:rFonts w:eastAsia="Times New Roman" w:cstheme="minorHAnsi"/>
          <w:color w:val="000000" w:themeColor="text1"/>
          <w:lang w:val="cs-CZ" w:eastAsia="pl-PL"/>
        </w:rPr>
        <w:t xml:space="preserve"> &amp; </w:t>
      </w:r>
      <w:proofErr w:type="spellStart"/>
      <w:r w:rsidR="00C159D9" w:rsidRPr="00797EA7">
        <w:rPr>
          <w:rFonts w:eastAsia="Times New Roman" w:cstheme="minorHAnsi"/>
          <w:color w:val="000000" w:themeColor="text1"/>
          <w:lang w:val="cs-CZ" w:eastAsia="pl-PL"/>
        </w:rPr>
        <w:t>Meisiek</w:t>
      </w:r>
      <w:proofErr w:type="spellEnd"/>
      <w:r w:rsidR="00C159D9" w:rsidRPr="00797EA7">
        <w:rPr>
          <w:rFonts w:eastAsia="Times New Roman" w:cstheme="minorHAnsi"/>
          <w:color w:val="000000" w:themeColor="text1"/>
          <w:lang w:val="cs-CZ" w:eastAsia="pl-PL"/>
        </w:rPr>
        <w:t xml:space="preserve">, 2015),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která jako fyzický prostor vytváří studentům prostor pro práci na projektech, přičemž se nacházejí ve fázi konceptualizace, experimentování, konkrétní zkušenosti a reflektivního pozorování </w:t>
      </w:r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(</w:t>
      </w:r>
      <w:proofErr w:type="spellStart"/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Kolb</w:t>
      </w:r>
      <w:proofErr w:type="spellEnd"/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, 1976)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. Koncept těchto fyzických míst pro inkubaci nápadů vychází z designového myšlení </w:t>
      </w:r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(Brown, 2008)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. Zapojení se do zúčastněného pozorování reálného světa, reflexe pozorování prostřednictvím řady diskusí, následné vstupování do interakcí s manažery sociálních podniků a poučení o zapojení se do řešení sociálního problému, identifikace příležitostí sociálního podnikání pro začínající podniky vyžadují vzdělávací soubor </w:t>
      </w:r>
      <w:r w:rsidR="00797EA7" w:rsidRPr="00797EA7">
        <w:rPr>
          <w:rFonts w:eastAsia="Times New Roman" w:cstheme="minorHAnsi"/>
          <w:color w:val="000000" w:themeColor="text1"/>
          <w:lang w:val="cs-CZ" w:eastAsia="pl-PL"/>
        </w:rPr>
        <w:t>nástrojů – formu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</w:t>
      </w:r>
      <w:r w:rsidRPr="00797EA7">
        <w:rPr>
          <w:rFonts w:eastAsia="Times New Roman" w:cstheme="minorHAnsi"/>
          <w:b/>
          <w:bCs/>
          <w:color w:val="000000" w:themeColor="text1"/>
          <w:lang w:val="cs-CZ" w:eastAsia="pl-PL"/>
        </w:rPr>
        <w:t>laboratorního prostoru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.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lastRenderedPageBreak/>
        <w:t xml:space="preserve">Spuštění vzdělávacích programů/cyklů sociálního podnikání nezůstává bez vlivu na důležité charakteristiky studentů jako potenciálních sociálních podnikatelů - empatie (budování schopnosti představit si pocity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marginalizovaných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lidí [přenesení studentů do pocitů a myšlení druhých], umožnění podpory v emotivním a soucitném reagování na pocity druhých), morální závazek (zvýšení pocitu odpovědnosti za řešení problémů sociálně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marginalizovaných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jedinců a skupin v důsledku vycítěných a vnímaných norem a hodnot jako morálních imperativů), sociálně podnikatelská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sebeúčinnost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(umožňující přispět ke společenské změně, vytvořit sociální podnik často prostřednictvím sociálního podnikatelského </w:t>
      </w:r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 xml:space="preserve">chování v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malém měřítku), vnímaná sociální podpora (vyvolat vznik </w:t>
      </w:r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 xml:space="preserve">behaviorálních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záměrů založit sociální podnik), záměr založit sociální podnik (vznik a podpora plánů osobně se zapojit do založení sociálního podniku) </w:t>
      </w:r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(</w:t>
      </w:r>
      <w:proofErr w:type="spellStart"/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Hockerts</w:t>
      </w:r>
      <w:proofErr w:type="spellEnd"/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, 2018)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>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>Z kulturního hlediska může vzdělávací systém podporovat kulturu sociálního podnikání a usnadnit integraci mladých lidí do sociální ekonomiky. Z tržního hlediska platformy a další organizační struktury pro sdílení zkušeností a znalostí sociálních podnikatelů, usnadnění přenosu know-how, zviditelnění iniciativ sociálního podnikání a povzbuzení širších komunit ke spolupráci. Z hlediska vzdělávání mohou aktivity zaměřené na vzdělávání přispět k budování podnikatelských dovedností (</w:t>
      </w:r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OECD, 2016)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>. Pro lepší vybavení komunit nástroji pro řešení dynamiky a složitosti sociálních problémů včetně environmentálních otázek má klíčový význam upřednostňování zlepšování vzdělávání a inovací (</w:t>
      </w:r>
      <w:proofErr w:type="spellStart"/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Bossel</w:t>
      </w:r>
      <w:proofErr w:type="spellEnd"/>
      <w:r w:rsidR="00641636" w:rsidRPr="00797EA7">
        <w:rPr>
          <w:rFonts w:eastAsia="Times New Roman" w:cstheme="minorHAnsi"/>
          <w:color w:val="000000" w:themeColor="text1"/>
          <w:lang w:val="cs-CZ" w:eastAsia="pl-PL"/>
        </w:rPr>
        <w:t>, 1999)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. </w:t>
      </w:r>
      <w:r w:rsidRPr="00797EA7">
        <w:rPr>
          <w:rFonts w:cstheme="minorHAnsi"/>
          <w:lang w:val="cs-CZ"/>
        </w:rPr>
        <w:t xml:space="preserve">Posun od paradigmatu "služby" k paradigmatu participace (připojit se, podílet se, vnést další kapacitu do hnutí za sociální spravedlnost; postavit studenty více do pozice kritických vědců spojujících se s členy komunity jako spoluřešitelé, nikoliv jen pasivní dobrovolníci) odhaluje, že odpovědnost studentů nespočívá pouze v tom, že </w:t>
      </w:r>
      <w:r w:rsidRPr="00797EA7">
        <w:rPr>
          <w:rFonts w:cstheme="minorHAnsi"/>
          <w:i/>
          <w:iCs/>
          <w:lang w:val="cs-CZ"/>
        </w:rPr>
        <w:t xml:space="preserve">se </w:t>
      </w:r>
      <w:r w:rsidRPr="00797EA7">
        <w:rPr>
          <w:rFonts w:cstheme="minorHAnsi"/>
          <w:lang w:val="cs-CZ"/>
        </w:rPr>
        <w:t>"</w:t>
      </w:r>
      <w:r w:rsidRPr="00797EA7">
        <w:rPr>
          <w:rFonts w:cstheme="minorHAnsi"/>
          <w:i/>
          <w:iCs/>
          <w:lang w:val="cs-CZ"/>
        </w:rPr>
        <w:t>zapojí do daného úkolu, ale že pochopí potenciální vliv svého příspěvku</w:t>
      </w:r>
      <w:r w:rsidRPr="00797EA7">
        <w:rPr>
          <w:rFonts w:cstheme="minorHAnsi"/>
          <w:lang w:val="cs-CZ"/>
        </w:rPr>
        <w:t xml:space="preserve">"; </w:t>
      </w:r>
      <w:proofErr w:type="spellStart"/>
      <w:r w:rsidRPr="00797EA7">
        <w:rPr>
          <w:rFonts w:cstheme="minorHAnsi"/>
          <w:lang w:val="cs-CZ"/>
        </w:rPr>
        <w:t>service-learning</w:t>
      </w:r>
      <w:proofErr w:type="spellEnd"/>
      <w:r w:rsidRPr="00797EA7">
        <w:rPr>
          <w:rFonts w:cstheme="minorHAnsi"/>
          <w:lang w:val="cs-CZ"/>
        </w:rPr>
        <w:t xml:space="preserve"> ne vždy zahrnuje akční výzkum (participativní výzkum). </w:t>
      </w:r>
    </w:p>
    <w:p w:rsidR="00A713CE" w:rsidRPr="00797EA7" w:rsidRDefault="00A713CE" w:rsidP="00A713CE">
      <w:pPr>
        <w:jc w:val="both"/>
        <w:rPr>
          <w:rFonts w:cstheme="minorHAnsi"/>
          <w:lang w:val="cs-CZ"/>
        </w:rPr>
      </w:pPr>
    </w:p>
    <w:p w:rsidR="00B04D89" w:rsidRPr="00797EA7" w:rsidRDefault="00A46B5A">
      <w:pPr>
        <w:pStyle w:val="Nadpis1"/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br w:type="column"/>
      </w:r>
      <w:bookmarkStart w:id="13" w:name="_Toc117681708"/>
      <w:r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lastRenderedPageBreak/>
        <w:t xml:space="preserve">Kapitola </w:t>
      </w:r>
      <w:r w:rsidR="00C97F43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4</w:t>
      </w:r>
      <w:r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 xml:space="preserve">. </w:t>
      </w:r>
      <w:r w:rsidR="00A713CE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 xml:space="preserve">Rámce konceptu SDG </w:t>
      </w:r>
      <w:proofErr w:type="spellStart"/>
      <w:r w:rsidR="00797EA7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Labs</w:t>
      </w:r>
      <w:proofErr w:type="spellEnd"/>
      <w:r w:rsidR="00797EA7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 xml:space="preserve"> – vytváření</w:t>
      </w:r>
      <w:r w:rsidR="00A713CE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 xml:space="preserve"> laboratorního prostoru</w:t>
      </w:r>
      <w:bookmarkEnd w:id="13"/>
    </w:p>
    <w:p w:rsidR="002E1332" w:rsidRPr="00797EA7" w:rsidRDefault="002E1332" w:rsidP="00C1172E">
      <w:pPr>
        <w:spacing w:before="120" w:after="120"/>
        <w:jc w:val="both"/>
        <w:rPr>
          <w:rStyle w:val="spellingerror"/>
          <w:rFonts w:ascii="Calibri" w:eastAsiaTheme="majorEastAsia" w:hAnsi="Calibri" w:cs="Calibri"/>
          <w:b/>
          <w:bCs/>
          <w:color w:val="538135" w:themeColor="accent6" w:themeShade="BF"/>
          <w:lang w:val="cs-CZ"/>
        </w:rPr>
      </w:pP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lang w:val="cs-CZ" w:eastAsia="pl-PL"/>
        </w:rPr>
        <w:t xml:space="preserve">Širší pojetí vývoje zelených podnikatelských výzev spolu se zelenou transformací s důrazem na zelené kompetence je uvedeno na schématu </w:t>
      </w:r>
      <w:r w:rsidR="00C97F43" w:rsidRPr="00797EA7">
        <w:rPr>
          <w:rFonts w:eastAsia="Times New Roman" w:cstheme="minorHAnsi"/>
          <w:lang w:val="cs-CZ" w:eastAsia="pl-PL"/>
        </w:rPr>
        <w:t>7</w:t>
      </w:r>
      <w:r w:rsidRPr="00797EA7">
        <w:rPr>
          <w:rFonts w:eastAsia="Times New Roman" w:cstheme="minorHAnsi"/>
          <w:lang w:val="cs-CZ" w:eastAsia="pl-PL"/>
        </w:rPr>
        <w:t>.</w:t>
      </w:r>
    </w:p>
    <w:p w:rsidR="00B04D89" w:rsidRPr="00797EA7" w:rsidRDefault="00A46B5A">
      <w:pPr>
        <w:jc w:val="both"/>
        <w:rPr>
          <w:rFonts w:eastAsia="Times New Roman" w:cstheme="minorHAnsi"/>
          <w:lang w:val="cs-CZ" w:eastAsia="pl-PL"/>
        </w:rPr>
      </w:pPr>
      <w:bookmarkStart w:id="14" w:name="_Toc109046994"/>
      <w:r w:rsidRPr="00797EA7">
        <w:rPr>
          <w:rFonts w:eastAsia="Times New Roman" w:cstheme="minorHAnsi"/>
          <w:b/>
          <w:bCs/>
          <w:lang w:val="cs-CZ" w:eastAsia="pl-PL"/>
        </w:rPr>
        <w:t xml:space="preserve">Schéma </w:t>
      </w:r>
      <w:r w:rsidRPr="00797EA7">
        <w:rPr>
          <w:rFonts w:eastAsia="Times New Roman" w:cstheme="minorHAnsi"/>
          <w:b/>
          <w:bCs/>
          <w:lang w:val="cs-CZ" w:eastAsia="pl-PL"/>
        </w:rPr>
        <w:fldChar w:fldCharType="begin"/>
      </w:r>
      <w:r w:rsidRPr="00797EA7">
        <w:rPr>
          <w:rFonts w:eastAsia="Times New Roman" w:cstheme="minorHAnsi"/>
          <w:b/>
          <w:bCs/>
          <w:lang w:val="cs-CZ" w:eastAsia="pl-PL"/>
        </w:rPr>
        <w:instrText xml:space="preserve"> SEQ Scheme \* ARABIC </w:instrText>
      </w:r>
      <w:r w:rsidRPr="00797EA7">
        <w:rPr>
          <w:rFonts w:eastAsia="Times New Roman" w:cstheme="minorHAnsi"/>
          <w:b/>
          <w:bCs/>
          <w:lang w:val="cs-CZ" w:eastAsia="pl-PL"/>
        </w:rPr>
        <w:fldChar w:fldCharType="separate"/>
      </w:r>
      <w:r w:rsidR="008854A6" w:rsidRPr="00797EA7">
        <w:rPr>
          <w:rFonts w:eastAsia="Times New Roman" w:cstheme="minorHAnsi"/>
          <w:b/>
          <w:bCs/>
          <w:lang w:val="cs-CZ" w:eastAsia="pl-PL"/>
        </w:rPr>
        <w:t>7</w:t>
      </w:r>
      <w:r w:rsidRPr="00797EA7">
        <w:rPr>
          <w:rFonts w:eastAsia="Times New Roman" w:cstheme="minorHAnsi"/>
          <w:b/>
          <w:bCs/>
          <w:lang w:val="cs-CZ" w:eastAsia="pl-PL"/>
        </w:rPr>
        <w:fldChar w:fldCharType="end"/>
      </w:r>
      <w:r w:rsidRPr="00797EA7">
        <w:rPr>
          <w:rFonts w:eastAsia="Times New Roman" w:cstheme="minorHAnsi"/>
          <w:b/>
          <w:bCs/>
          <w:lang w:val="cs-CZ" w:eastAsia="pl-PL"/>
        </w:rPr>
        <w:t xml:space="preserve">. </w:t>
      </w:r>
      <w:r w:rsidR="005736F0" w:rsidRPr="00797EA7">
        <w:rPr>
          <w:rFonts w:eastAsia="Times New Roman" w:cstheme="minorHAnsi"/>
          <w:lang w:val="cs-CZ" w:eastAsia="pl-PL"/>
        </w:rPr>
        <w:t>Koncepční model vývoje směrem k udržitelnému podnikání s důrazem na zelené kompetence občanů.</w:t>
      </w:r>
      <w:bookmarkEnd w:id="14"/>
    </w:p>
    <w:p w:rsidR="00240FB1" w:rsidRPr="00797EA7" w:rsidRDefault="00240FB1" w:rsidP="00240FB1">
      <w:pPr>
        <w:rPr>
          <w:lang w:val="cs-CZ"/>
        </w:rPr>
      </w:pPr>
      <w:r w:rsidRPr="00797EA7">
        <w:rPr>
          <w:rFonts w:eastAsia="Times New Roman" w:cstheme="minorHAnsi"/>
          <w:color w:val="385623" w:themeColor="accent6" w:themeShade="80"/>
          <w:sz w:val="20"/>
          <w:szCs w:val="20"/>
          <w:lang w:val="cs-CZ" w:eastAsia="pl-PL"/>
        </w:rPr>
        <w:t xml:space="preserve"> </w:t>
      </w:r>
    </w:p>
    <w:p w:rsidR="00B04D89" w:rsidRPr="00797EA7" w:rsidRDefault="00797EA7">
      <w:pPr>
        <w:jc w:val="both"/>
        <w:rPr>
          <w:rFonts w:eastAsia="Times New Roman" w:cstheme="minorHAnsi"/>
          <w:b/>
          <w:bCs/>
          <w:lang w:val="cs-CZ" w:eastAsia="pl-PL"/>
        </w:rPr>
      </w:pP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93FCF3" wp14:editId="2CA06F4C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1758950" cy="1404620"/>
                <wp:effectExtent l="0" t="0" r="0" b="6350"/>
                <wp:wrapSquare wrapText="bothSides"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EA2EFF">
                            <w:pPr>
                              <w:spacing w:after="120"/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 xml:space="preserve">oblast </w:t>
                            </w:r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br/>
                            </w:r>
                            <w:proofErr w:type="spellStart"/>
                            <w:r w:rsidR="00797EA7"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aktivní</w:t>
                            </w:r>
                            <w:proofErr w:type="spellEnd"/>
                            <w:r w:rsidR="00797EA7"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proofErr w:type="spellStart"/>
                            <w:r w:rsidR="00797EA7"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zodpovědný</w:t>
                            </w:r>
                            <w:proofErr w:type="spellEnd"/>
                          </w:p>
                          <w:p w:rsidR="00797EA7" w:rsidRDefault="00797EA7">
                            <w:pPr>
                              <w:jc w:val="center"/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student-</w:t>
                            </w:r>
                            <w:proofErr w:type="spellStart"/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občan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3FCF3" id="_x0000_s1049" type="#_x0000_t202" style="position:absolute;left:0;text-align:left;margin-left:87.3pt;margin-top:20.75pt;width:138.5pt;height:110.6pt;z-index:251720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" filled="f" stroked="f">
                <v:textbox style="mso-fit-shape-to-text:t">
                  <w:txbxContent>
                    <w:p w:rsidR="00797EA7" w:rsidRDefault="00EA2EFF">
                      <w:pPr>
                        <w:spacing w:after="120"/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 xml:space="preserve">oblast </w:t>
                      </w:r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br/>
                      </w:r>
                      <w:proofErr w:type="spellStart"/>
                      <w:r w:rsidR="00797EA7"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aktivní</w:t>
                      </w:r>
                      <w:proofErr w:type="spellEnd"/>
                      <w:r w:rsidR="00797EA7"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proofErr w:type="spellStart"/>
                      <w:r w:rsidR="00797EA7"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zodpovědný</w:t>
                      </w:r>
                      <w:proofErr w:type="spellEnd"/>
                    </w:p>
                    <w:p w:rsidR="00797EA7" w:rsidRDefault="00797EA7">
                      <w:pPr>
                        <w:jc w:val="center"/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student-</w:t>
                      </w:r>
                      <w:proofErr w:type="spellStart"/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občan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B5A"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2BF8970" wp14:editId="560C9544">
                <wp:simplePos x="0" y="0"/>
                <wp:positionH relativeFrom="page">
                  <wp:posOffset>863600</wp:posOffset>
                </wp:positionH>
                <wp:positionV relativeFrom="paragraph">
                  <wp:posOffset>300355</wp:posOffset>
                </wp:positionV>
                <wp:extent cx="800100" cy="1404620"/>
                <wp:effectExtent l="0" t="0" r="0" b="0"/>
                <wp:wrapSquare wrapText="bothSides"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16"/>
                                <w:szCs w:val="16"/>
                                <w:lang w:val="en-US" w:eastAsia="pl-PL"/>
                              </w:rPr>
                            </w:pPr>
                            <w:r w:rsidRPr="007A0112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16"/>
                                <w:szCs w:val="16"/>
                                <w:lang w:val="en-US" w:eastAsia="pl-PL"/>
                              </w:rPr>
                              <w:t>Zelené kompetence</w:t>
                            </w:r>
                          </w:p>
                          <w:p w:rsidR="00797EA7" w:rsidRDefault="00797EA7">
                            <w:pP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16"/>
                                <w:szCs w:val="16"/>
                                <w:lang w:val="en-US" w:eastAsia="pl-PL"/>
                              </w:rPr>
                            </w:pPr>
                            <w:r w:rsidRPr="007A0112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16"/>
                                <w:szCs w:val="16"/>
                                <w:lang w:val="en-US" w:eastAsia="pl-PL"/>
                              </w:rPr>
                              <w:t>Společenská účast</w:t>
                            </w:r>
                          </w:p>
                          <w:p w:rsidR="00797EA7" w:rsidRDefault="00797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112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16"/>
                                <w:szCs w:val="16"/>
                                <w:lang w:val="en-US" w:eastAsia="pl-PL"/>
                              </w:rPr>
                              <w:t>Občanskoprávní odpovědnost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F8970" id="_x0000_s1050" type="#_x0000_t202" style="position:absolute;left:0;text-align:left;margin-left:68pt;margin-top:23.65pt;width:63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" filled="f" stroked="f">
                <v:textbox style="mso-fit-shape-to-text:t">
                  <w:txbxContent>
                    <w:p w:rsidR="00797EA7" w:rsidRDefault="00797EA7">
                      <w:pPr>
                        <w:rPr>
                          <w:rFonts w:eastAsia="Times New Roman" w:cstheme="minorHAnsi"/>
                          <w:color w:val="385623" w:themeColor="accent6" w:themeShade="80"/>
                          <w:sz w:val="16"/>
                          <w:szCs w:val="16"/>
                          <w:lang w:val="en-US" w:eastAsia="pl-PL"/>
                        </w:rPr>
                      </w:pPr>
                      <w:r w:rsidRPr="007A0112">
                        <w:rPr>
                          <w:rFonts w:eastAsia="Times New Roman" w:cstheme="minorHAnsi"/>
                          <w:color w:val="385623" w:themeColor="accent6" w:themeShade="80"/>
                          <w:sz w:val="16"/>
                          <w:szCs w:val="16"/>
                          <w:lang w:val="en-US" w:eastAsia="pl-PL"/>
                        </w:rPr>
                        <w:t>Zelené kompetence</w:t>
                      </w:r>
                    </w:p>
                    <w:p w:rsidR="00797EA7" w:rsidRDefault="00797EA7">
                      <w:pPr>
                        <w:rPr>
                          <w:rFonts w:eastAsia="Times New Roman" w:cstheme="minorHAnsi"/>
                          <w:color w:val="385623" w:themeColor="accent6" w:themeShade="80"/>
                          <w:sz w:val="16"/>
                          <w:szCs w:val="16"/>
                          <w:lang w:val="en-US" w:eastAsia="pl-PL"/>
                        </w:rPr>
                      </w:pPr>
                      <w:r w:rsidRPr="007A0112">
                        <w:rPr>
                          <w:rFonts w:eastAsia="Times New Roman" w:cstheme="minorHAnsi"/>
                          <w:color w:val="385623" w:themeColor="accent6" w:themeShade="80"/>
                          <w:sz w:val="16"/>
                          <w:szCs w:val="16"/>
                          <w:lang w:val="en-US" w:eastAsia="pl-PL"/>
                        </w:rPr>
                        <w:t>Společenská účast</w:t>
                      </w:r>
                    </w:p>
                    <w:p w:rsidR="00797EA7" w:rsidRDefault="00797EA7">
                      <w:pPr>
                        <w:rPr>
                          <w:sz w:val="20"/>
                          <w:szCs w:val="20"/>
                        </w:rPr>
                      </w:pPr>
                      <w:r w:rsidRPr="007A0112">
                        <w:rPr>
                          <w:rFonts w:eastAsia="Times New Roman" w:cstheme="minorHAnsi"/>
                          <w:color w:val="385623" w:themeColor="accent6" w:themeShade="80"/>
                          <w:sz w:val="16"/>
                          <w:szCs w:val="16"/>
                          <w:lang w:val="en-US" w:eastAsia="pl-PL"/>
                        </w:rPr>
                        <w:t>Občanskoprávní odpovědnost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0FB1"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C28708E" wp14:editId="5FBE215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05075" cy="140462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 xml:space="preserve">Výzvy pro </w:t>
                            </w: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 xml:space="preserve">zelené </w:t>
                            </w:r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podnikání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8708E" id="_x0000_s1051" type="#_x0000_t202" style="position:absolute;left:0;text-align:left;margin-left:0;margin-top:.6pt;width:197.25pt;height:110.6pt;z-index:251725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" filled="f" stroked="f">
                <v:textbox style="mso-fit-shape-to-text:t">
                  <w:txbxContent>
                    <w:p w:rsidR="00797EA7" w:rsidRDefault="00797EA7">
                      <w:pPr>
                        <w:jc w:val="center"/>
                      </w:pPr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 xml:space="preserve">Výzvy pro </w:t>
                      </w: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 xml:space="preserve">zelené </w:t>
                      </w:r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podnikání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4D89" w:rsidRPr="00797EA7" w:rsidRDefault="00A46B5A">
      <w:pPr>
        <w:jc w:val="both"/>
        <w:rPr>
          <w:rFonts w:eastAsia="Times New Roman" w:cstheme="minorHAnsi"/>
          <w:b/>
          <w:bCs/>
          <w:lang w:val="cs-CZ" w:eastAsia="pl-PL"/>
        </w:rPr>
      </w:pP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40764C" wp14:editId="18FFCB72">
                <wp:simplePos x="0" y="0"/>
                <wp:positionH relativeFrom="page">
                  <wp:posOffset>1593850</wp:posOffset>
                </wp:positionH>
                <wp:positionV relativeFrom="paragraph">
                  <wp:posOffset>107315</wp:posOffset>
                </wp:positionV>
                <wp:extent cx="1758950" cy="1404620"/>
                <wp:effectExtent l="0" t="0" r="0" b="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spacing w:after="120"/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oblast povědomí</w:t>
                            </w:r>
                          </w:p>
                          <w:p w:rsidR="00797EA7" w:rsidRDefault="00797EA7">
                            <w:pPr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udržitelné podnikání</w:t>
                            </w:r>
                          </w:p>
                          <w:p w:rsidR="00797EA7" w:rsidRDefault="00797EA7">
                            <w:pPr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zelené kompetence</w:t>
                            </w:r>
                          </w:p>
                          <w:p w:rsidR="00797EA7" w:rsidRDefault="00797EA7">
                            <w:pPr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podnikatelské kompetence</w:t>
                            </w:r>
                          </w:p>
                          <w:p w:rsidR="00797EA7" w:rsidRDefault="00797EA7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 xml:space="preserve">digitální </w:t>
                            </w: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 xml:space="preserve">kompetence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0764C" id="_x0000_s1052" type="#_x0000_t202" style="position:absolute;left:0;text-align:left;margin-left:125.5pt;margin-top:8.45pt;width:138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" filled="f" stroked="f">
                <v:textbox style="mso-fit-shape-to-text:t">
                  <w:txbxContent>
                    <w:p w:rsidR="00797EA7" w:rsidRDefault="00797EA7">
                      <w:pPr>
                        <w:spacing w:after="120"/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oblast povědomí</w:t>
                      </w:r>
                    </w:p>
                    <w:p w:rsidR="00797EA7" w:rsidRDefault="00797EA7">
                      <w:pPr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udržitelné podnikání</w:t>
                      </w:r>
                    </w:p>
                    <w:p w:rsidR="00797EA7" w:rsidRDefault="00797EA7">
                      <w:pPr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zelené kompetence</w:t>
                      </w:r>
                    </w:p>
                    <w:p w:rsidR="00797EA7" w:rsidRDefault="00797EA7">
                      <w:pPr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podnikatelské kompetence</w:t>
                      </w:r>
                    </w:p>
                    <w:p w:rsidR="00797EA7" w:rsidRDefault="00797EA7">
                      <w:pPr>
                        <w:jc w:val="center"/>
                      </w:pPr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 xml:space="preserve">digitální </w:t>
                      </w: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 xml:space="preserve">kompetence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11F859F" wp14:editId="32D5C7C1">
                <wp:simplePos x="0" y="0"/>
                <wp:positionH relativeFrom="page">
                  <wp:posOffset>3213100</wp:posOffset>
                </wp:positionH>
                <wp:positionV relativeFrom="paragraph">
                  <wp:posOffset>100965</wp:posOffset>
                </wp:positionV>
                <wp:extent cx="1835150" cy="1404620"/>
                <wp:effectExtent l="0" t="0" r="0" b="0"/>
                <wp:wrapSquare wrapText="bothSides"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spacing w:after="120"/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ab/>
                              <w:t xml:space="preserve">oblast kompetencí </w:t>
                            </w:r>
                          </w:p>
                          <w:p w:rsidR="00797EA7" w:rsidRDefault="00797EA7">
                            <w:pPr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podnikatelské kompetence</w:t>
                            </w:r>
                          </w:p>
                          <w:p w:rsidR="00797EA7" w:rsidRDefault="00797EA7">
                            <w:pPr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+</w:t>
                            </w:r>
                          </w:p>
                          <w:p w:rsidR="00797EA7" w:rsidRDefault="00797EA7">
                            <w:pPr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posílení postavení občanů</w:t>
                            </w:r>
                          </w:p>
                          <w:p w:rsidR="00797EA7" w:rsidRDefault="00797EA7">
                            <w:pPr>
                              <w:jc w:val="center"/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+</w:t>
                            </w:r>
                          </w:p>
                          <w:p w:rsidR="00797EA7" w:rsidRDefault="00797EA7">
                            <w:pPr>
                              <w:jc w:val="center"/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vzdělávání jako nástroj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F859F" id="_x0000_s1053" type="#_x0000_t202" style="position:absolute;left:0;text-align:left;margin-left:253pt;margin-top:7.95pt;width:144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" filled="f" stroked="f">
                <v:textbox style="mso-fit-shape-to-text:t">
                  <w:txbxContent>
                    <w:p w:rsidR="00797EA7" w:rsidRDefault="00797EA7">
                      <w:pPr>
                        <w:spacing w:after="120"/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ab/>
                        <w:t xml:space="preserve">oblast kompetencí </w:t>
                      </w:r>
                    </w:p>
                    <w:p w:rsidR="00797EA7" w:rsidRDefault="00797EA7">
                      <w:pPr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podnikatelské kompetence</w:t>
                      </w:r>
                    </w:p>
                    <w:p w:rsidR="00797EA7" w:rsidRDefault="00797EA7">
                      <w:pPr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+</w:t>
                      </w:r>
                    </w:p>
                    <w:p w:rsidR="00797EA7" w:rsidRDefault="00797EA7">
                      <w:pPr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posílení postavení občanů</w:t>
                      </w:r>
                    </w:p>
                    <w:p w:rsidR="00797EA7" w:rsidRDefault="00797EA7">
                      <w:pPr>
                        <w:jc w:val="center"/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</w:pPr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+</w:t>
                      </w:r>
                    </w:p>
                    <w:p w:rsidR="00797EA7" w:rsidRDefault="00797EA7">
                      <w:pPr>
                        <w:jc w:val="center"/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vzdělávání jako nástroj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EFBFF0" wp14:editId="31A587B1">
                <wp:simplePos x="0" y="0"/>
                <wp:positionH relativeFrom="column">
                  <wp:posOffset>694055</wp:posOffset>
                </wp:positionH>
                <wp:positionV relativeFrom="paragraph">
                  <wp:posOffset>91440</wp:posOffset>
                </wp:positionV>
                <wp:extent cx="5068570" cy="2277745"/>
                <wp:effectExtent l="0" t="0" r="17780" b="273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570" cy="2277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DD5B" id="Prostokąt 15" o:spid="_x0000_s1026" style="position:absolute;margin-left:54.65pt;margin-top:7.2pt;width:399.1pt;height:179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" filled="f" strokecolor="#1f3763 [1604]" strokeweight="1pt"/>
            </w:pict>
          </mc:Fallback>
        </mc:AlternateContent>
      </w:r>
    </w:p>
    <w:p w:rsidR="00B04D89" w:rsidRPr="00797EA7" w:rsidRDefault="00A46B5A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99C50B" wp14:editId="11BC4F5E">
                <wp:simplePos x="0" y="0"/>
                <wp:positionH relativeFrom="column">
                  <wp:posOffset>968375</wp:posOffset>
                </wp:positionH>
                <wp:positionV relativeFrom="paragraph">
                  <wp:posOffset>66040</wp:posOffset>
                </wp:positionV>
                <wp:extent cx="4635426" cy="1268532"/>
                <wp:effectExtent l="19050" t="57150" r="32385" b="2730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426" cy="12685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317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6.25pt;margin-top:5.2pt;width:365pt;height:99.9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" strokecolor="#538135 [2409]" strokeweight="2.25pt">
                <v:stroke endarrow="block" joinstyle="miter"/>
              </v:shape>
            </w:pict>
          </mc:Fallback>
        </mc:AlternateContent>
      </w: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B04D89" w:rsidRPr="00797EA7" w:rsidRDefault="00A46B5A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05040FA" wp14:editId="6029A20B">
                <wp:simplePos x="0" y="0"/>
                <wp:positionH relativeFrom="margin">
                  <wp:posOffset>2626995</wp:posOffset>
                </wp:positionH>
                <wp:positionV relativeFrom="paragraph">
                  <wp:posOffset>5715</wp:posOffset>
                </wp:positionV>
                <wp:extent cx="1758950" cy="1404620"/>
                <wp:effectExtent l="0" t="0" r="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</w:pPr>
                            <w:r w:rsidRPr="000C5F8D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zelená transformace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040FA" id="_x0000_s1054" type="#_x0000_t202" style="position:absolute;left:0;text-align:left;margin-left:206.85pt;margin-top:.45pt;width:138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" filled="f" stroked="f">
                <v:textbox style="mso-fit-shape-to-text:t">
                  <w:txbxContent>
                    <w:p w:rsidR="00797EA7" w:rsidRDefault="00797EA7">
                      <w:pPr>
                        <w:jc w:val="center"/>
                      </w:pPr>
                      <w:r w:rsidRPr="000C5F8D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zelená transformace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B04D89" w:rsidRPr="00797EA7" w:rsidRDefault="00A46B5A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F7421C6" wp14:editId="47426ABB">
                <wp:simplePos x="0" y="0"/>
                <wp:positionH relativeFrom="margin">
                  <wp:posOffset>3991610</wp:posOffset>
                </wp:positionH>
                <wp:positionV relativeFrom="paragraph">
                  <wp:posOffset>15240</wp:posOffset>
                </wp:positionV>
                <wp:extent cx="1758950" cy="140462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</w:pPr>
                            <w:r w:rsidRPr="000425EF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související akce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421C6" id="_x0000_s1055" type="#_x0000_t202" style="position:absolute;left:0;text-align:left;margin-left:314.3pt;margin-top:1.2pt;width:138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" filled="f" stroked="f">
                <v:textbox style="mso-fit-shape-to-text:t">
                  <w:txbxContent>
                    <w:p w:rsidR="00797EA7" w:rsidRDefault="00797EA7">
                      <w:pPr>
                        <w:jc w:val="center"/>
                      </w:pPr>
                      <w:r w:rsidRPr="000425EF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související akce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A8047BA" wp14:editId="038A4AC5">
                <wp:simplePos x="0" y="0"/>
                <wp:positionH relativeFrom="margin">
                  <wp:posOffset>2463800</wp:posOffset>
                </wp:positionH>
                <wp:positionV relativeFrom="paragraph">
                  <wp:posOffset>16510</wp:posOffset>
                </wp:positionV>
                <wp:extent cx="1758950" cy="1404620"/>
                <wp:effectExtent l="0" t="0" r="0" b="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797EA7">
                            <w:pPr>
                              <w:jc w:val="center"/>
                            </w:pPr>
                            <w:r w:rsidRPr="000425EF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zdroje a kompetence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047BA" id="_x0000_s1056" type="#_x0000_t202" style="position:absolute;left:0;text-align:left;margin-left:194pt;margin-top:1.3pt;width:138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" filled="f" stroked="f">
                <v:textbox style="mso-fit-shape-to-text:t">
                  <w:txbxContent>
                    <w:p w:rsidR="00797EA7" w:rsidRDefault="00797EA7">
                      <w:pPr>
                        <w:jc w:val="center"/>
                      </w:pPr>
                      <w:r w:rsidRPr="000425EF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zdroje a kompetence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EA7">
        <w:rPr>
          <w:rFonts w:eastAsia="Times New Roman" w:cstheme="minorHAnsi"/>
          <w:noProof/>
          <w:color w:val="385623" w:themeColor="accent6" w:themeShade="80"/>
          <w:sz w:val="20"/>
          <w:szCs w:val="2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DA94289" wp14:editId="4EC7CA72">
                <wp:simplePos x="0" y="0"/>
                <wp:positionH relativeFrom="margin">
                  <wp:posOffset>698500</wp:posOffset>
                </wp:positionH>
                <wp:positionV relativeFrom="paragraph">
                  <wp:posOffset>20955</wp:posOffset>
                </wp:positionV>
                <wp:extent cx="1758950" cy="1404620"/>
                <wp:effectExtent l="0" t="0" r="0" b="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A7" w:rsidRDefault="00D1521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n</w:t>
                            </w:r>
                            <w:r w:rsidR="00797EA7" w:rsidRPr="000425EF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ápady</w:t>
                            </w:r>
                            <w:proofErr w:type="spellEnd"/>
                            <w:r w:rsidR="00797EA7" w:rsidRPr="000425EF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 xml:space="preserve"> a </w:t>
                            </w:r>
                            <w:proofErr w:type="spellStart"/>
                            <w:r w:rsidR="00797EA7" w:rsidRPr="000425EF">
                              <w:rPr>
                                <w:rFonts w:eastAsia="Times New Roman" w:cstheme="minorHAnsi"/>
                                <w:color w:val="385623" w:themeColor="accent6" w:themeShade="80"/>
                                <w:sz w:val="20"/>
                                <w:szCs w:val="20"/>
                                <w:lang w:val="en-US" w:eastAsia="pl-PL"/>
                              </w:rPr>
                              <w:t>příležitosti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94289" id="_x0000_s1057" type="#_x0000_t202" style="position:absolute;left:0;text-align:left;margin-left:55pt;margin-top:1.65pt;width:138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" filled="f" stroked="f">
                <v:textbox style="mso-fit-shape-to-text:t">
                  <w:txbxContent>
                    <w:p w:rsidR="00797EA7" w:rsidRDefault="00D15210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n</w:t>
                      </w:r>
                      <w:r w:rsidR="00797EA7" w:rsidRPr="000425EF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ápady</w:t>
                      </w:r>
                      <w:proofErr w:type="spellEnd"/>
                      <w:r w:rsidR="00797EA7" w:rsidRPr="000425EF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 xml:space="preserve"> a </w:t>
                      </w:r>
                      <w:proofErr w:type="spellStart"/>
                      <w:r w:rsidR="00797EA7" w:rsidRPr="000425EF">
                        <w:rPr>
                          <w:rFonts w:eastAsia="Times New Roman" w:cstheme="minorHAnsi"/>
                          <w:color w:val="385623" w:themeColor="accent6" w:themeShade="80"/>
                          <w:sz w:val="20"/>
                          <w:szCs w:val="20"/>
                          <w:lang w:val="en-US" w:eastAsia="pl-PL"/>
                        </w:rPr>
                        <w:t>příležitosti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240FB1" w:rsidRPr="00797EA7" w:rsidRDefault="00240FB1" w:rsidP="006301FD">
      <w:pPr>
        <w:jc w:val="both"/>
        <w:rPr>
          <w:rFonts w:eastAsia="Times New Roman" w:cstheme="minorHAnsi"/>
          <w:sz w:val="20"/>
          <w:szCs w:val="20"/>
          <w:lang w:val="cs-CZ" w:eastAsia="pl-PL"/>
        </w:rPr>
      </w:pPr>
    </w:p>
    <w:p w:rsidR="00B04D89" w:rsidRPr="00797EA7" w:rsidRDefault="00A46B5A">
      <w:pPr>
        <w:spacing w:after="200"/>
        <w:jc w:val="both"/>
        <w:rPr>
          <w:rFonts w:eastAsia="Times New Roman" w:cstheme="minorHAnsi"/>
          <w:sz w:val="20"/>
          <w:szCs w:val="20"/>
          <w:lang w:val="cs-CZ" w:eastAsia="pl-PL"/>
        </w:rPr>
      </w:pPr>
      <w:r w:rsidRPr="00797EA7">
        <w:rPr>
          <w:rFonts w:eastAsia="Times New Roman" w:cstheme="minorHAnsi"/>
          <w:sz w:val="20"/>
          <w:szCs w:val="20"/>
          <w:lang w:val="cs-CZ" w:eastAsia="pl-PL"/>
        </w:rPr>
        <w:t>Zdroj:</w:t>
      </w:r>
      <w:r w:rsidR="00422A0D" w:rsidRPr="00797EA7">
        <w:rPr>
          <w:rFonts w:eastAsia="Times New Roman" w:cstheme="minorHAnsi"/>
          <w:sz w:val="20"/>
          <w:szCs w:val="20"/>
          <w:lang w:val="cs-CZ" w:eastAsia="pl-PL"/>
        </w:rPr>
        <w:t xml:space="preserve"> Autorovo vlastní </w:t>
      </w:r>
      <w:r w:rsidR="008F727C" w:rsidRPr="00797EA7">
        <w:rPr>
          <w:rFonts w:eastAsia="Times New Roman" w:cstheme="minorHAnsi"/>
          <w:sz w:val="20"/>
          <w:szCs w:val="20"/>
          <w:lang w:val="cs-CZ" w:eastAsia="pl-PL"/>
        </w:rPr>
        <w:t>zpracování (</w:t>
      </w:r>
      <w:proofErr w:type="spellStart"/>
      <w:r w:rsidR="005E0169" w:rsidRPr="00797EA7">
        <w:rPr>
          <w:rFonts w:eastAsia="Times New Roman" w:cstheme="minorHAnsi"/>
          <w:color w:val="000000" w:themeColor="text1"/>
          <w:sz w:val="20"/>
          <w:szCs w:val="20"/>
          <w:lang w:val="cs-CZ"/>
        </w:rPr>
        <w:t>Mets</w:t>
      </w:r>
      <w:proofErr w:type="spellEnd"/>
      <w:r w:rsidR="005E0169" w:rsidRPr="00797EA7">
        <w:rPr>
          <w:rFonts w:eastAsia="Times New Roman" w:cstheme="minorHAnsi"/>
          <w:color w:val="000000" w:themeColor="text1"/>
          <w:sz w:val="20"/>
          <w:szCs w:val="20"/>
          <w:lang w:val="cs-CZ"/>
        </w:rPr>
        <w:t xml:space="preserve"> </w:t>
      </w:r>
      <w:proofErr w:type="gramStart"/>
      <w:r w:rsidR="00173C12" w:rsidRPr="00797EA7">
        <w:rPr>
          <w:rFonts w:eastAsia="Times New Roman" w:cstheme="minorHAnsi"/>
          <w:i/>
          <w:iCs/>
          <w:color w:val="000000" w:themeColor="text1"/>
          <w:sz w:val="20"/>
          <w:szCs w:val="20"/>
          <w:lang w:val="cs-CZ"/>
        </w:rPr>
        <w:t xml:space="preserve">et al. </w:t>
      </w:r>
      <w:r w:rsidR="00173C12" w:rsidRPr="00797EA7">
        <w:rPr>
          <w:rFonts w:eastAsia="Times New Roman" w:cstheme="minorHAnsi"/>
          <w:color w:val="000000" w:themeColor="text1"/>
          <w:sz w:val="20"/>
          <w:szCs w:val="20"/>
          <w:lang w:val="cs-CZ"/>
        </w:rPr>
        <w:t>,</w:t>
      </w:r>
      <w:proofErr w:type="gramEnd"/>
      <w:r w:rsidR="00173C12" w:rsidRPr="00797EA7">
        <w:rPr>
          <w:rFonts w:eastAsia="Times New Roman" w:cstheme="minorHAnsi"/>
          <w:color w:val="000000" w:themeColor="text1"/>
          <w:sz w:val="20"/>
          <w:szCs w:val="20"/>
          <w:lang w:val="cs-CZ"/>
        </w:rPr>
        <w:t xml:space="preserve"> </w:t>
      </w:r>
      <w:r w:rsidR="005E0169" w:rsidRPr="00797EA7">
        <w:rPr>
          <w:rFonts w:eastAsia="Times New Roman" w:cstheme="minorHAnsi"/>
          <w:color w:val="000000" w:themeColor="text1"/>
          <w:sz w:val="20"/>
          <w:szCs w:val="20"/>
          <w:lang w:val="cs-CZ"/>
        </w:rPr>
        <w:t>2021)</w:t>
      </w:r>
      <w:r w:rsidR="00B54B77" w:rsidRPr="00797EA7">
        <w:rPr>
          <w:rFonts w:eastAsia="Times New Roman" w:cstheme="minorHAnsi"/>
          <w:sz w:val="20"/>
          <w:szCs w:val="20"/>
          <w:lang w:val="cs-CZ" w:eastAsia="pl-PL"/>
        </w:rPr>
        <w:t>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lang w:val="cs-CZ" w:eastAsia="pl-PL"/>
        </w:rPr>
      </w:pPr>
      <w:r w:rsidRPr="00797EA7">
        <w:rPr>
          <w:rFonts w:eastAsia="Times New Roman" w:cstheme="minorHAnsi"/>
          <w:lang w:val="cs-CZ" w:eastAsia="pl-PL"/>
        </w:rPr>
        <w:t xml:space="preserve">Pole informovanosti je chápáno jako transformující se do pole kompetencí a následně do pole aktivní odpovědné pozice </w:t>
      </w:r>
      <w:r w:rsidR="00422A0D" w:rsidRPr="00797EA7">
        <w:rPr>
          <w:rFonts w:eastAsia="Times New Roman" w:cstheme="minorHAnsi"/>
          <w:lang w:val="cs-CZ" w:eastAsia="pl-PL"/>
        </w:rPr>
        <w:t>studenta</w:t>
      </w:r>
      <w:r w:rsidRPr="00797EA7">
        <w:rPr>
          <w:rFonts w:eastAsia="Times New Roman" w:cstheme="minorHAnsi"/>
          <w:lang w:val="cs-CZ" w:eastAsia="pl-PL"/>
        </w:rPr>
        <w:t>-občana. Dynamika procesu zahrnuje zelenou transformaci ve smyslu rozvíjení zelených kompetencí spolu se sociální participací a občanskou odpovědností. Tyto tři oblasti se zaměřují na tři oblasti vývoje, a to na myšlenky a příležitosti, zdroje a kompetence a oblasti související s činností.</w:t>
      </w:r>
    </w:p>
    <w:p w:rsidR="00B04D89" w:rsidRPr="00797EA7" w:rsidRDefault="00A46B5A">
      <w:pPr>
        <w:spacing w:after="120"/>
        <w:jc w:val="both"/>
        <w:rPr>
          <w:rFonts w:cstheme="minorHAnsi"/>
          <w:b/>
          <w:bCs/>
          <w:lang w:val="cs-CZ"/>
        </w:rPr>
      </w:pPr>
      <w:r w:rsidRPr="00797EA7">
        <w:rPr>
          <w:rFonts w:cstheme="minorHAnsi"/>
          <w:b/>
          <w:bCs/>
          <w:lang w:val="cs-CZ"/>
        </w:rPr>
        <w:t xml:space="preserve">Informovanost. </w:t>
      </w:r>
      <w:r w:rsidRPr="00797EA7">
        <w:rPr>
          <w:rFonts w:cstheme="minorHAnsi"/>
          <w:color w:val="000000" w:themeColor="text1"/>
          <w:lang w:val="cs-CZ"/>
        </w:rPr>
        <w:t>Nedostatečné povědomí o ochraně životního prostředí je považováno za jeden z klíčových faktorů, které ovlivňují boj s globální změnou klimatu. Znalosti o změně klimatu, o riziku změny klimatu jsou nedostatečné (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Oyero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</w:t>
      </w:r>
      <w:proofErr w:type="gramStart"/>
      <w:r w:rsidR="00641636" w:rsidRPr="00797EA7">
        <w:rPr>
          <w:rFonts w:cstheme="minorHAnsi"/>
          <w:i/>
          <w:iCs/>
          <w:color w:val="000000" w:themeColor="text1"/>
          <w:lang w:val="cs-CZ"/>
        </w:rPr>
        <w:t xml:space="preserve">et al. </w:t>
      </w:r>
      <w:r w:rsidR="00641636" w:rsidRPr="00797EA7">
        <w:rPr>
          <w:rFonts w:cstheme="minorHAnsi"/>
          <w:color w:val="000000" w:themeColor="text1"/>
          <w:lang w:val="cs-CZ"/>
        </w:rPr>
        <w:t>,</w:t>
      </w:r>
      <w:proofErr w:type="gramEnd"/>
      <w:r w:rsidR="00641636" w:rsidRPr="00797EA7">
        <w:rPr>
          <w:rFonts w:cstheme="minorHAnsi"/>
          <w:color w:val="000000" w:themeColor="text1"/>
          <w:lang w:val="cs-CZ"/>
        </w:rPr>
        <w:t xml:space="preserve"> 2015)</w:t>
      </w:r>
      <w:r w:rsidRPr="00797EA7">
        <w:rPr>
          <w:rFonts w:cstheme="minorHAnsi"/>
          <w:color w:val="000000" w:themeColor="text1"/>
          <w:lang w:val="cs-CZ"/>
        </w:rPr>
        <w:t xml:space="preserve">. Většina lidí si neuvědomuje příčiny znečištění (2012, 2015, 2001) </w:t>
      </w:r>
      <w:r w:rsidR="00641636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National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Environmental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Education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and 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Training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Foundation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, 2001; 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Asia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Foundation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>, 2012)</w:t>
      </w:r>
      <w:r w:rsidRPr="00797EA7">
        <w:rPr>
          <w:rFonts w:cstheme="minorHAnsi"/>
          <w:color w:val="000000" w:themeColor="text1"/>
          <w:lang w:val="cs-CZ"/>
        </w:rPr>
        <w:t xml:space="preserve">. Největší průzkum veřejného mínění o změně klimatu zahrnující 56 % světové populace - </w:t>
      </w:r>
      <w:proofErr w:type="spellStart"/>
      <w:r w:rsidRPr="00797EA7">
        <w:rPr>
          <w:rFonts w:cstheme="minorHAnsi"/>
          <w:color w:val="000000" w:themeColor="text1"/>
          <w:lang w:val="cs-CZ"/>
        </w:rPr>
        <w:t>Peoples's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Climate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lang w:val="cs-CZ"/>
        </w:rPr>
        <w:t>Vote</w:t>
      </w:r>
      <w:proofErr w:type="spellEnd"/>
      <w:r w:rsidRPr="00797EA7">
        <w:rPr>
          <w:rFonts w:cstheme="minorHAnsi"/>
          <w:color w:val="000000" w:themeColor="text1"/>
          <w:lang w:val="cs-CZ"/>
        </w:rPr>
        <w:t xml:space="preserve"> </w:t>
      </w:r>
      <w:r w:rsidR="00641636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Flynn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</w:t>
      </w:r>
      <w:r w:rsidR="00641636" w:rsidRPr="00797EA7">
        <w:rPr>
          <w:rFonts w:cstheme="minorHAnsi"/>
          <w:i/>
          <w:iCs/>
          <w:color w:val="000000" w:themeColor="text1"/>
          <w:lang w:val="cs-CZ"/>
        </w:rPr>
        <w:t xml:space="preserve">et al. </w:t>
      </w:r>
      <w:r w:rsidR="00641636" w:rsidRPr="00797EA7">
        <w:rPr>
          <w:rFonts w:cstheme="minorHAnsi"/>
          <w:color w:val="000000" w:themeColor="text1"/>
          <w:lang w:val="cs-CZ"/>
        </w:rPr>
        <w:t xml:space="preserve">, 2021) </w:t>
      </w:r>
      <w:r w:rsidRPr="00797EA7">
        <w:rPr>
          <w:rFonts w:cstheme="minorHAnsi"/>
          <w:color w:val="000000" w:themeColor="text1"/>
          <w:lang w:val="cs-CZ"/>
        </w:rPr>
        <w:t>odhalil v roce 2021 všeobecné uznání, že: změna klimatu je "globální nouzovou situací"; "svět by měl v reakci na změnu klimatu udělat vše potřebné a naléhavě"; z 18 politik byly jako nejoblíbenější pro řešení klimatické nouze označeny čtyři politiky v oblasti klimatu: 1. Politika v oblasti klimatu, 2. Politika v oblasti životního prostředí, 3. Politika v oblasti životního prostředí. Zachování lesů a půdy (</w:t>
      </w:r>
      <w:proofErr w:type="gramStart"/>
      <w:r w:rsidRPr="00797EA7">
        <w:rPr>
          <w:rFonts w:cstheme="minorHAnsi"/>
          <w:color w:val="000000" w:themeColor="text1"/>
          <w:lang w:val="cs-CZ"/>
        </w:rPr>
        <w:t>54%</w:t>
      </w:r>
      <w:proofErr w:type="gramEnd"/>
      <w:r w:rsidRPr="00797EA7">
        <w:rPr>
          <w:rFonts w:cstheme="minorHAnsi"/>
          <w:color w:val="000000" w:themeColor="text1"/>
          <w:lang w:val="cs-CZ"/>
        </w:rPr>
        <w:t xml:space="preserve"> podpora veřejnosti); 2. Solární, větrná a obnovitelná energie (53%); 3. Zemědělské techniky šetrné ke klimatu (52%); a 4. Zlepšení životního prostředí (52%). Větší investice do ekologických podniků a pracovních míst (50 %). Téměř ve </w:t>
      </w:r>
      <w:r w:rsidRPr="00797EA7">
        <w:rPr>
          <w:rFonts w:cstheme="minorHAnsi"/>
          <w:color w:val="000000" w:themeColor="text1"/>
          <w:lang w:val="cs-CZ"/>
        </w:rPr>
        <w:lastRenderedPageBreak/>
        <w:t xml:space="preserve">všech zemích G20 je podporováno více investic do ekologických podniků a pracovních míst - 73 % ve Spojeném království, 68 % v Německu, Austrálii a Kanadě, 65 % v Jihoafrické republice, 64 % v Itálii, 59 % v Japonsku, 57 % ve Spojených státech, 56 % ve Francii, 51 % v Argentině, Brazílii a Indonésii. "Vzdělání člověka" bylo identifikováno jako "nejzávažnější sociodemografický faktor v oblasti klimatické nouze a klimatických opatření" (vysoce žádané opatření v oblasti změny klimatu mezi lidmi s postsekundárním vzděláním a mladými lidmi do 18 let </w:t>
      </w:r>
      <w:r w:rsidR="00641636" w:rsidRPr="00797EA7">
        <w:rPr>
          <w:rFonts w:cstheme="minorHAnsi"/>
          <w:color w:val="000000" w:themeColor="text1"/>
          <w:lang w:val="cs-CZ"/>
        </w:rPr>
        <w:t>(</w:t>
      </w:r>
      <w:proofErr w:type="spellStart"/>
      <w:r w:rsidR="00641636" w:rsidRPr="00797EA7">
        <w:rPr>
          <w:rFonts w:cstheme="minorHAnsi"/>
          <w:color w:val="000000" w:themeColor="text1"/>
          <w:lang w:val="cs-CZ"/>
        </w:rPr>
        <w:t>Flynn</w:t>
      </w:r>
      <w:proofErr w:type="spellEnd"/>
      <w:r w:rsidR="00641636" w:rsidRPr="00797EA7">
        <w:rPr>
          <w:rFonts w:cstheme="minorHAnsi"/>
          <w:color w:val="000000" w:themeColor="text1"/>
          <w:lang w:val="cs-CZ"/>
        </w:rPr>
        <w:t xml:space="preserve"> </w:t>
      </w:r>
      <w:proofErr w:type="gramStart"/>
      <w:r w:rsidR="00641636" w:rsidRPr="00797EA7">
        <w:rPr>
          <w:rFonts w:cstheme="minorHAnsi"/>
          <w:i/>
          <w:iCs/>
          <w:color w:val="000000" w:themeColor="text1"/>
          <w:lang w:val="cs-CZ"/>
        </w:rPr>
        <w:t xml:space="preserve">et al. </w:t>
      </w:r>
      <w:r w:rsidR="00641636" w:rsidRPr="00797EA7">
        <w:rPr>
          <w:rFonts w:cstheme="minorHAnsi"/>
          <w:color w:val="000000" w:themeColor="text1"/>
          <w:lang w:val="cs-CZ"/>
        </w:rPr>
        <w:t>,</w:t>
      </w:r>
      <w:proofErr w:type="gramEnd"/>
      <w:r w:rsidR="00641636" w:rsidRPr="00797EA7">
        <w:rPr>
          <w:rFonts w:cstheme="minorHAnsi"/>
          <w:color w:val="000000" w:themeColor="text1"/>
          <w:lang w:val="cs-CZ"/>
        </w:rPr>
        <w:t xml:space="preserve"> 2021)</w:t>
      </w:r>
      <w:r w:rsidRPr="00797EA7">
        <w:rPr>
          <w:rStyle w:val="Znakapoznpodarou"/>
          <w:rFonts w:cstheme="minorHAnsi"/>
          <w:color w:val="000000" w:themeColor="text1"/>
          <w:lang w:val="cs-CZ"/>
        </w:rPr>
        <w:footnoteReference w:id="4"/>
      </w:r>
      <w:r w:rsidRPr="00797EA7">
        <w:rPr>
          <w:rFonts w:cstheme="minorHAnsi"/>
          <w:color w:val="000000" w:themeColor="text1"/>
          <w:lang w:val="cs-CZ"/>
        </w:rPr>
        <w:t xml:space="preserve"> 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b/>
          <w:bCs/>
          <w:color w:val="000000" w:themeColor="text1"/>
          <w:lang w:val="cs-CZ"/>
        </w:rPr>
        <w:t xml:space="preserve">Kompetence. </w:t>
      </w:r>
      <w:r w:rsidRPr="00797EA7">
        <w:rPr>
          <w:rFonts w:cstheme="minorHAnsi"/>
          <w:lang w:val="cs-CZ"/>
        </w:rPr>
        <w:t xml:space="preserve">Posun od paradigmatu "služby" k paradigmatu participace (připojit se, podílet se, vnést další kapacitu do hnutí za sociální spravedlnost; postavit studenty více do pozice kritických vědců, kteří se spojují s členy komunity jako </w:t>
      </w:r>
      <w:proofErr w:type="spellStart"/>
      <w:r w:rsidRPr="00797EA7">
        <w:rPr>
          <w:rFonts w:cstheme="minorHAnsi"/>
          <w:lang w:val="cs-CZ"/>
        </w:rPr>
        <w:t>spoluzkoumatelé</w:t>
      </w:r>
      <w:proofErr w:type="spellEnd"/>
      <w:r w:rsidRPr="00797EA7">
        <w:rPr>
          <w:rFonts w:cstheme="minorHAnsi"/>
          <w:lang w:val="cs-CZ"/>
        </w:rPr>
        <w:t>, nikoliv jen pasivní dobrovolníci) - odpovědností studentů není jen "</w:t>
      </w:r>
      <w:r w:rsidRPr="00797EA7">
        <w:rPr>
          <w:rFonts w:cstheme="minorHAnsi"/>
          <w:i/>
          <w:iCs/>
          <w:lang w:val="cs-CZ"/>
        </w:rPr>
        <w:t>zapojit se do daného úkolu, ale pochopit potenciální vliv svého příspěvku</w:t>
      </w:r>
      <w:r w:rsidRPr="00797EA7">
        <w:rPr>
          <w:rFonts w:cstheme="minorHAnsi"/>
          <w:lang w:val="cs-CZ"/>
        </w:rPr>
        <w:t xml:space="preserve">". </w:t>
      </w:r>
      <w:r w:rsidRPr="00797EA7">
        <w:rPr>
          <w:rFonts w:cstheme="minorHAnsi"/>
          <w:color w:val="000000" w:themeColor="text1"/>
          <w:lang w:val="cs-CZ"/>
        </w:rPr>
        <w:t xml:space="preserve">Zelené podnikání vzdělávat prostřednictvím vytváření kontextuálního prostředí pro zelené podnikání a ocenění společnosti (začlenit do běžných předmětů, vytvořit jako samostatné předměty v rámci stávajících programů o životním prostředí a dalších, budování strukturovaných programů zaměřených na vysvětlování pojmů/myšlenek pro budování potřebných dovedností podnikání, a pak zásadně zaměřených na navrhování soběstačných organizací s orientací na vedení k vytváření nových ekologických statků, postupů); lze studovat prostřednictvím případových studií, návštěv v terénu, dotazů, interakcí/spolupráce s odborníky z praxe; </w:t>
      </w:r>
      <w:r w:rsidRPr="00797EA7">
        <w:rPr>
          <w:rFonts w:cstheme="minorHAnsi"/>
          <w:b/>
          <w:bCs/>
          <w:lang w:val="cs-CZ"/>
        </w:rPr>
        <w:t xml:space="preserve">studenti pracují </w:t>
      </w:r>
      <w:r w:rsidRPr="00797EA7">
        <w:rPr>
          <w:rFonts w:cstheme="minorHAnsi"/>
          <w:color w:val="000000" w:themeColor="text1"/>
          <w:lang w:val="cs-CZ"/>
        </w:rPr>
        <w:t xml:space="preserve">spíše </w:t>
      </w:r>
      <w:r w:rsidRPr="00797EA7">
        <w:rPr>
          <w:rFonts w:cstheme="minorHAnsi"/>
          <w:b/>
          <w:bCs/>
          <w:lang w:val="cs-CZ"/>
        </w:rPr>
        <w:t xml:space="preserve">s účastnickými organizacemi </w:t>
      </w:r>
      <w:r w:rsidRPr="00797EA7">
        <w:rPr>
          <w:rFonts w:cstheme="minorHAnsi"/>
          <w:color w:val="000000" w:themeColor="text1"/>
          <w:lang w:val="cs-CZ"/>
        </w:rPr>
        <w:t xml:space="preserve">než pro agentury; </w:t>
      </w:r>
      <w:r w:rsidRPr="00797EA7">
        <w:rPr>
          <w:rFonts w:cstheme="minorHAnsi"/>
          <w:lang w:val="cs-CZ"/>
        </w:rPr>
        <w:t xml:space="preserve">vytvářejí se partnerství v rámci </w:t>
      </w:r>
      <w:proofErr w:type="spellStart"/>
      <w:r w:rsidRPr="00797EA7">
        <w:rPr>
          <w:rFonts w:cstheme="minorHAnsi"/>
          <w:lang w:val="cs-CZ"/>
        </w:rPr>
        <w:t>service-learning</w:t>
      </w:r>
      <w:proofErr w:type="spellEnd"/>
      <w:r w:rsidRPr="00797EA7">
        <w:rPr>
          <w:rFonts w:cstheme="minorHAnsi"/>
          <w:lang w:val="cs-CZ"/>
        </w:rPr>
        <w:t xml:space="preserve">, která umožňují </w:t>
      </w:r>
      <w:r w:rsidRPr="00797EA7">
        <w:rPr>
          <w:rFonts w:cstheme="minorHAnsi"/>
          <w:b/>
          <w:bCs/>
          <w:lang w:val="cs-CZ"/>
        </w:rPr>
        <w:t xml:space="preserve">studentům pracovat pro účastnické organizace </w:t>
      </w:r>
      <w:r w:rsidRPr="00797EA7">
        <w:rPr>
          <w:rFonts w:cstheme="minorHAnsi"/>
          <w:color w:val="000000" w:themeColor="text1"/>
          <w:lang w:val="cs-CZ"/>
        </w:rPr>
        <w:t xml:space="preserve">například jako studentští konzultanti pro určitý účel nebo věc. 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b/>
          <w:bCs/>
          <w:color w:val="000000" w:themeColor="text1"/>
          <w:lang w:val="cs-CZ" w:eastAsia="pl-PL"/>
        </w:rPr>
        <w:t xml:space="preserve">Aktivní odpovědná pozice.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Je naznačen "empatický model kolektivního vzdělávání", jehož cílem je uvést studenty do dimenze vzdělávací zkušenosti, která se vyznačuje šířením učení v širokých oblastech občanské společnosti, kombinací formálních a neformálních způsobů výuky. Jako příklady výuky v rámci tohoto modelu je uvedeno zavedení dobrovolné účasti v místních nevládních organizacích nebo komunitních iniciativách zaměřených na pomoc při řešení problémů místních komunit, v nichž člověk žije. Rozptýlená a kolektivizovaná výuka vychází z přesvědčení, že lepších výsledků lze dosáhnout spojením zkušeností lidí, kteří se sejdou, aby společně řešili problémy, které se jich týkají. </w:t>
      </w:r>
      <w:r w:rsidR="00422A0D" w:rsidRPr="00797EA7">
        <w:rPr>
          <w:rFonts w:eastAsia="Times New Roman" w:cstheme="minorHAnsi"/>
          <w:color w:val="000000" w:themeColor="text1"/>
          <w:lang w:val="cs-CZ" w:eastAsia="pl-PL"/>
        </w:rPr>
        <w:t>Doručená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a kooperativní výuka umožňuje přesunout pozornost z jednotlivce na vzájemně závislou skupinu studentů (sociální zkušenost v rámci skupiny studentů). Získávání znalostí se stává sociální zkušeností, zkušeností sdílenou s ostatními, nikoliv přivlastňovanou nebo vlastněnou. Studenti se učí sdílet odpovědnost za učení druhých - vžívají se do myšlení druhých, otevírají se jiným perspektivám, rozvíjejí dovednosti přijímat kritiku, ochotu pomáhat druhým, pocit odpovědnosti za učící se komunitu - zaměřené na podporu "empatické citlivosti" (vcítění se do myšlenek, vcítění se do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lastRenderedPageBreak/>
        <w:t xml:space="preserve">situace spolužáků) - rezonující s ostatními studenty; podporují studenty v rozšiřování jejich sebeuvědomění směrem k druhým, v hlubší účasti ve vzájemně závislých komunitách a v rozšiřování hranic empatie. 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Kromě toho je </w:t>
      </w:r>
      <w:r w:rsidR="00D51CAF" w:rsidRPr="00797EA7">
        <w:rPr>
          <w:rFonts w:eastAsia="Times New Roman" w:cstheme="minorHAnsi"/>
          <w:color w:val="000000" w:themeColor="text1"/>
          <w:lang w:val="cs-CZ" w:eastAsia="pl-PL"/>
        </w:rPr>
        <w:t xml:space="preserve">dorozumívání se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s přírodou nezbytné pro rozvoj kritického </w:t>
      </w:r>
      <w:r w:rsidR="008316C9" w:rsidRPr="00797EA7">
        <w:rPr>
          <w:rFonts w:eastAsia="Times New Roman" w:cstheme="minorHAnsi"/>
          <w:color w:val="000000" w:themeColor="text1"/>
          <w:lang w:val="cs-CZ" w:eastAsia="pl-PL"/>
        </w:rPr>
        <w:t>myšlení – pozorování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přírodních jevů, pochopení pojmu "existence", vytváření </w:t>
      </w:r>
      <w:r w:rsidR="008316C9" w:rsidRPr="00797EA7">
        <w:rPr>
          <w:rFonts w:eastAsia="Times New Roman" w:cstheme="minorHAnsi"/>
          <w:color w:val="000000" w:themeColor="text1"/>
          <w:lang w:val="cs-CZ" w:eastAsia="pl-PL"/>
        </w:rPr>
        <w:t>povědomí – pomocí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způsobů, jakými si </w:t>
      </w:r>
      <w:r w:rsidR="00210D6E" w:rsidRPr="00797EA7">
        <w:rPr>
          <w:rFonts w:eastAsia="Times New Roman" w:cstheme="minorHAnsi"/>
          <w:color w:val="000000" w:themeColor="text1"/>
          <w:lang w:val="cs-CZ" w:eastAsia="pl-PL"/>
        </w:rPr>
        <w:t>studenti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spojují jevy, vytvářejí si vztahy, které jim umožňují zařadit se do světa </w:t>
      </w:r>
      <w:r w:rsidR="00D95F7C" w:rsidRPr="00797EA7">
        <w:rPr>
          <w:rFonts w:eastAsia="Times New Roman" w:cstheme="minorHAnsi"/>
          <w:color w:val="000000" w:themeColor="text1"/>
          <w:lang w:val="cs-CZ" w:eastAsia="pl-PL"/>
        </w:rPr>
        <w:t>(</w:t>
      </w:r>
      <w:proofErr w:type="spellStart"/>
      <w:r w:rsidR="00D95F7C" w:rsidRPr="00797EA7">
        <w:rPr>
          <w:rFonts w:eastAsia="Times New Roman" w:cstheme="minorHAnsi"/>
          <w:color w:val="000000" w:themeColor="text1"/>
          <w:lang w:val="cs-CZ" w:eastAsia="pl-PL"/>
        </w:rPr>
        <w:t>Rifkin</w:t>
      </w:r>
      <w:proofErr w:type="spellEnd"/>
      <w:r w:rsidR="00D95F7C" w:rsidRPr="00797EA7">
        <w:rPr>
          <w:rFonts w:eastAsia="Times New Roman" w:cstheme="minorHAnsi"/>
          <w:color w:val="000000" w:themeColor="text1"/>
          <w:lang w:val="cs-CZ" w:eastAsia="pl-PL"/>
        </w:rPr>
        <w:t>, 2012)</w:t>
      </w:r>
      <w:r w:rsidRPr="00797EA7">
        <w:rPr>
          <w:rFonts w:eastAsia="Times New Roman" w:cstheme="minorHAnsi"/>
          <w:lang w:val="cs-CZ" w:eastAsia="pl-PL"/>
        </w:rPr>
        <w:t>.</w:t>
      </w:r>
      <w:r w:rsidRPr="00797EA7">
        <w:rPr>
          <w:rFonts w:eastAsia="Times New Roman" w:cstheme="minorHAnsi"/>
          <w:lang w:val="cs-CZ" w:eastAsia="pl-PL"/>
        </w:rPr>
        <w:tab/>
      </w:r>
      <w:r w:rsidRPr="00797EA7">
        <w:rPr>
          <w:rFonts w:eastAsia="Times New Roman" w:cstheme="minorHAnsi"/>
          <w:lang w:val="cs-CZ" w:eastAsia="pl-PL"/>
        </w:rPr>
        <w:tab/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lang w:val="cs-CZ" w:eastAsia="pl-PL"/>
        </w:rPr>
        <w:t xml:space="preserve">Sociálně řízené zelené laboratoře na metodické úrovni jsou vytvořeny jako laboratorní prostor a zahrnují metodiku živých laboratoří a učení založené na simulaci. Na úrovni nástrojů obsahuje: 1. Úložiště případových studií a </w:t>
      </w:r>
      <w:proofErr w:type="spellStart"/>
      <w:r w:rsidRPr="00797EA7">
        <w:rPr>
          <w:rFonts w:eastAsia="Times New Roman" w:cstheme="minorHAnsi"/>
          <w:lang w:val="cs-CZ" w:eastAsia="pl-PL"/>
        </w:rPr>
        <w:t>spolutvorných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 aktivit, zdrojů a digitálního balíčku přednáškových plánů (digitální galerie); 2. Možnost vzdělávání učitelů (masivní otevřené online kurzy </w:t>
      </w:r>
      <w:r w:rsidRPr="00797EA7">
        <w:rPr>
          <w:rFonts w:eastAsia="Times New Roman" w:cstheme="minorHAnsi"/>
          <w:i/>
          <w:iCs/>
          <w:lang w:val="cs-CZ" w:eastAsia="pl-PL"/>
        </w:rPr>
        <w:t>Sociální ekonomika pro zelený přechod</w:t>
      </w:r>
      <w:r w:rsidRPr="00797EA7">
        <w:rPr>
          <w:rFonts w:eastAsia="Times New Roman" w:cstheme="minorHAnsi"/>
          <w:lang w:val="cs-CZ" w:eastAsia="pl-PL"/>
        </w:rPr>
        <w:t>); 3. Podnikatelské simulační modely; 4. Akademický program zahrnující teoretické a praktické prvky gramotnosti v oblasti zelených dovedností a environmentální udržitelnosti (letní škola)</w:t>
      </w:r>
      <w:r w:rsidR="003D3E7F" w:rsidRPr="00797EA7">
        <w:rPr>
          <w:rFonts w:eastAsia="Times New Roman" w:cstheme="minorHAnsi"/>
          <w:lang w:val="cs-CZ" w:eastAsia="pl-PL"/>
        </w:rPr>
        <w:t>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lang w:val="cs-CZ" w:eastAsia="pl-PL"/>
        </w:rPr>
        <w:t>Metodika živých laboratoří je chápána jako ekosystém, který je otevřený, nebo/i komunita určená k integraci zúčastněných stran do procesu inovací a vzniku nových myšlenek. Metodika je založena na více přístupech (</w:t>
      </w:r>
      <w:proofErr w:type="spellStart"/>
      <w:r w:rsidRPr="00797EA7">
        <w:rPr>
          <w:rFonts w:eastAsia="Times New Roman" w:cstheme="minorHAnsi"/>
          <w:lang w:val="cs-CZ" w:eastAsia="pl-PL"/>
        </w:rPr>
        <w:t>SDGLabs</w:t>
      </w:r>
      <w:proofErr w:type="spellEnd"/>
      <w:r w:rsidRPr="00797EA7">
        <w:rPr>
          <w:rFonts w:eastAsia="Times New Roman" w:cstheme="minorHAnsi"/>
          <w:lang w:val="cs-CZ" w:eastAsia="pl-PL"/>
        </w:rPr>
        <w:t>: metodologie uživatelského centra, participativní výzkum, co-design), zapojení uživatelů (</w:t>
      </w:r>
      <w:proofErr w:type="spellStart"/>
      <w:r w:rsidRPr="00797EA7">
        <w:rPr>
          <w:rFonts w:eastAsia="Times New Roman" w:cstheme="minorHAnsi"/>
          <w:lang w:val="cs-CZ" w:eastAsia="pl-PL"/>
        </w:rPr>
        <w:t>SDGLabs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: budování komunity uživatelů), účasti mnoha zainteresovaných </w:t>
      </w:r>
      <w:r w:rsidR="008316C9" w:rsidRPr="00797EA7">
        <w:rPr>
          <w:rFonts w:eastAsia="Times New Roman" w:cstheme="minorHAnsi"/>
          <w:lang w:val="cs-CZ" w:eastAsia="pl-PL"/>
        </w:rPr>
        <w:t>stran – studentů</w:t>
      </w:r>
      <w:r w:rsidRPr="00797EA7">
        <w:rPr>
          <w:rFonts w:eastAsia="Times New Roman" w:cstheme="minorHAnsi"/>
          <w:lang w:val="cs-CZ" w:eastAsia="pl-PL"/>
        </w:rPr>
        <w:t xml:space="preserve"> VŠ, učitelů VŠ, SEE, reálného prostředí, spolutvorbě (</w:t>
      </w:r>
      <w:proofErr w:type="spellStart"/>
      <w:r w:rsidRPr="00797EA7">
        <w:rPr>
          <w:rFonts w:eastAsia="Times New Roman" w:cstheme="minorHAnsi"/>
          <w:lang w:val="cs-CZ" w:eastAsia="pl-PL"/>
        </w:rPr>
        <w:t>SDGLabs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: zapojení koncových uživatelů do procesu tvorby). Metodika živých laboratoří je založena na tříprvkovém rámci: zkoumání, experimentování, hodnocení </w:t>
      </w:r>
      <w:r w:rsidR="00D95F7C" w:rsidRPr="00797EA7">
        <w:rPr>
          <w:rFonts w:eastAsia="Times New Roman" w:cstheme="minorHAnsi"/>
          <w:lang w:val="cs-CZ" w:eastAsia="pl-PL"/>
        </w:rPr>
        <w:t>(</w:t>
      </w:r>
      <w:proofErr w:type="spellStart"/>
      <w:r w:rsidR="00D95F7C" w:rsidRPr="00797EA7">
        <w:rPr>
          <w:rFonts w:eastAsia="Times New Roman" w:cstheme="minorHAnsi"/>
          <w:lang w:val="cs-CZ" w:eastAsia="pl-PL"/>
        </w:rPr>
        <w:t>Malberg</w:t>
      </w:r>
      <w:proofErr w:type="spellEnd"/>
      <w:r w:rsidR="00D95F7C" w:rsidRPr="00797EA7">
        <w:rPr>
          <w:rFonts w:eastAsia="Times New Roman" w:cstheme="minorHAnsi"/>
          <w:lang w:val="cs-CZ" w:eastAsia="pl-PL"/>
        </w:rPr>
        <w:t xml:space="preserve"> </w:t>
      </w:r>
      <w:proofErr w:type="gramStart"/>
      <w:r w:rsidR="00D95F7C" w:rsidRPr="00797EA7">
        <w:rPr>
          <w:rFonts w:eastAsia="Times New Roman" w:cstheme="minorHAnsi"/>
          <w:i/>
          <w:iCs/>
          <w:lang w:val="cs-CZ" w:eastAsia="pl-PL"/>
        </w:rPr>
        <w:t xml:space="preserve">et al. </w:t>
      </w:r>
      <w:r w:rsidR="00D95F7C" w:rsidRPr="00797EA7">
        <w:rPr>
          <w:rFonts w:eastAsia="Times New Roman" w:cstheme="minorHAnsi"/>
          <w:lang w:val="cs-CZ" w:eastAsia="pl-PL"/>
        </w:rPr>
        <w:t>,</w:t>
      </w:r>
      <w:proofErr w:type="gramEnd"/>
      <w:r w:rsidR="00D95F7C" w:rsidRPr="00797EA7">
        <w:rPr>
          <w:rFonts w:eastAsia="Times New Roman" w:cstheme="minorHAnsi"/>
          <w:lang w:val="cs-CZ" w:eastAsia="pl-PL"/>
        </w:rPr>
        <w:t xml:space="preserve"> 2017)</w:t>
      </w:r>
      <w:r w:rsidRPr="00797EA7">
        <w:rPr>
          <w:rFonts w:eastAsia="Times New Roman" w:cstheme="minorHAnsi"/>
          <w:lang w:val="cs-CZ" w:eastAsia="pl-PL"/>
        </w:rPr>
        <w:t xml:space="preserve">. To, co podnítilo aplikaci metody živých laboratoří, je její vlastnost </w:t>
      </w:r>
      <w:proofErr w:type="spellStart"/>
      <w:r w:rsidRPr="00797EA7">
        <w:rPr>
          <w:rFonts w:eastAsia="Times New Roman" w:cstheme="minorHAnsi"/>
          <w:lang w:val="cs-CZ" w:eastAsia="pl-PL"/>
        </w:rPr>
        <w:t>kolaborativní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 povahy (komunita uživatelů: studentů a učitelů vysokých škol, jakož i SEE s environmentálními cíli) a potenciál podpořit společnou hodnotu spolutvorby, rychlého </w:t>
      </w:r>
      <w:proofErr w:type="spellStart"/>
      <w:r w:rsidRPr="00797EA7">
        <w:rPr>
          <w:rFonts w:eastAsia="Times New Roman" w:cstheme="minorHAnsi"/>
          <w:lang w:val="cs-CZ" w:eastAsia="pl-PL"/>
        </w:rPr>
        <w:t>prototypování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 a ověřování zaměřeného na </w:t>
      </w:r>
      <w:proofErr w:type="spellStart"/>
      <w:r w:rsidRPr="00797EA7">
        <w:rPr>
          <w:rFonts w:eastAsia="Times New Roman" w:cstheme="minorHAnsi"/>
          <w:lang w:val="cs-CZ" w:eastAsia="pl-PL"/>
        </w:rPr>
        <w:t>škálování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 sociálních inovací a podniků </w:t>
      </w:r>
      <w:r w:rsidR="00D95F7C" w:rsidRPr="00797EA7">
        <w:rPr>
          <w:rFonts w:eastAsia="Times New Roman" w:cstheme="minorHAnsi"/>
          <w:lang w:val="cs-CZ" w:eastAsia="pl-PL"/>
        </w:rPr>
        <w:t>(</w:t>
      </w:r>
      <w:proofErr w:type="spellStart"/>
      <w:r w:rsidR="00D95F7C" w:rsidRPr="00797EA7">
        <w:rPr>
          <w:rFonts w:eastAsia="Times New Roman" w:cstheme="minorHAnsi"/>
          <w:lang w:val="cs-CZ" w:eastAsia="pl-PL"/>
        </w:rPr>
        <w:t>Malberg</w:t>
      </w:r>
      <w:proofErr w:type="spellEnd"/>
      <w:r w:rsidR="00D95F7C" w:rsidRPr="00797EA7">
        <w:rPr>
          <w:rFonts w:eastAsia="Times New Roman" w:cstheme="minorHAnsi"/>
          <w:lang w:val="cs-CZ" w:eastAsia="pl-PL"/>
        </w:rPr>
        <w:t xml:space="preserve"> </w:t>
      </w:r>
      <w:proofErr w:type="gramStart"/>
      <w:r w:rsidR="00D95F7C" w:rsidRPr="00797EA7">
        <w:rPr>
          <w:rFonts w:eastAsia="Times New Roman" w:cstheme="minorHAnsi"/>
          <w:i/>
          <w:iCs/>
          <w:lang w:val="cs-CZ" w:eastAsia="pl-PL"/>
        </w:rPr>
        <w:t xml:space="preserve">et al. </w:t>
      </w:r>
      <w:r w:rsidR="00D95F7C" w:rsidRPr="00797EA7">
        <w:rPr>
          <w:rFonts w:eastAsia="Times New Roman" w:cstheme="minorHAnsi"/>
          <w:lang w:val="cs-CZ" w:eastAsia="pl-PL"/>
        </w:rPr>
        <w:t>,</w:t>
      </w:r>
      <w:proofErr w:type="gramEnd"/>
      <w:r w:rsidR="00D95F7C" w:rsidRPr="00797EA7">
        <w:rPr>
          <w:rFonts w:eastAsia="Times New Roman" w:cstheme="minorHAnsi"/>
          <w:lang w:val="cs-CZ" w:eastAsia="pl-PL"/>
        </w:rPr>
        <w:t xml:space="preserve"> 2017)</w:t>
      </w:r>
      <w:r w:rsidRPr="00797EA7">
        <w:rPr>
          <w:rFonts w:eastAsia="Times New Roman" w:cstheme="minorHAnsi"/>
          <w:lang w:val="cs-CZ" w:eastAsia="pl-PL"/>
        </w:rPr>
        <w:t xml:space="preserve">. Základními cíli, které se očekávají, že budou realizovány aplikací metodiky živých laboratoří, je integrace vysokoškolské komunity a SEE se společností, snížení nesouladu dovedností se zvláštním důrazem na zelené dovednosti, návrh multidisciplinárního a na výzvy zaměřeného vzdělávacího programu založeného na spoluvytváření zelených kapacit, vypracování společného "jazyka" mezi cílovými skupinami. 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lang w:val="cs-CZ" w:eastAsia="pl-PL"/>
        </w:rPr>
        <w:t>Metodiku živých laboratoří představenou prostřednictvím fází definování (současný stav vývoje SEE s ohledem na zapojení zelených dovedností a jeho možný vývoj směrem k určitým "budoucím stavům"), idealizace (</w:t>
      </w:r>
      <w:proofErr w:type="spellStart"/>
      <w:r w:rsidRPr="00797EA7">
        <w:rPr>
          <w:rFonts w:eastAsia="Times New Roman" w:cstheme="minorHAnsi"/>
          <w:lang w:val="cs-CZ" w:eastAsia="pl-PL"/>
        </w:rPr>
        <w:t>spoludesign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 prostřednictvím sdílení znalostí a zkušeností), experimentování (testování možných "budoucích stavů" v reálném životě) a validace (zpětná vazba k nápadům a navrhovaným přístupům) aplikovaných na problematiku obnovitelné energie, udržitelného bydlení, udržitelného potravinového systému nebo oběhového hospodářství lze rozvést následovně: 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eastAsia="Times New Roman" w:cstheme="minorHAnsi"/>
          <w:lang w:val="cs-CZ" w:eastAsia="pl-PL"/>
        </w:rPr>
        <w:t xml:space="preserve">V definiční fázi je zahájeno úvodní zasedání o otázkách udržitelnosti, které upozorní na zelené oblasti podnikání SEE, které je třeba prozkoumat (obnovitelná energie, udržitelné bydlení, oběhové hospodářství, udržitelné potravinové systémy). V ideové fázi jsou studenti </w:t>
      </w:r>
      <w:r w:rsidR="000136C7" w:rsidRPr="00797EA7">
        <w:rPr>
          <w:rFonts w:eastAsia="Times New Roman" w:cstheme="minorHAnsi"/>
          <w:lang w:val="cs-CZ" w:eastAsia="pl-PL"/>
        </w:rPr>
        <w:t>podporován</w:t>
      </w:r>
      <w:r w:rsidRPr="00797EA7">
        <w:rPr>
          <w:rFonts w:eastAsia="Times New Roman" w:cstheme="minorHAnsi"/>
          <w:lang w:val="cs-CZ" w:eastAsia="pl-PL"/>
        </w:rPr>
        <w:t xml:space="preserve">i, aby přišli s vlastním sociálně orientovaným zeleným podnikatelským řešením s využitím podnikatelského </w:t>
      </w:r>
      <w:r w:rsidR="000136C7" w:rsidRPr="00797EA7">
        <w:rPr>
          <w:rFonts w:eastAsia="Times New Roman" w:cstheme="minorHAnsi"/>
          <w:lang w:val="cs-CZ" w:eastAsia="pl-PL"/>
        </w:rPr>
        <w:t>modelu</w:t>
      </w:r>
      <w:r w:rsidRPr="00797EA7">
        <w:rPr>
          <w:rFonts w:eastAsia="Times New Roman" w:cstheme="minorHAnsi"/>
          <w:lang w:val="cs-CZ" w:eastAsia="pl-PL"/>
        </w:rPr>
        <w:t xml:space="preserve"> SDG. Ve fázi experimentování studenti společně se svými partnery ze SEE testují své zelené podnikatelské nápady pomocí simulačních modelů podnikání SDG, aby lépe porozuměli skutečným podnikatelským rozhodovacím procesům (metodika živé laboratoře kombinovaná s aplikací založenou na simulaci, kdy studenti testují </w:t>
      </w:r>
      <w:r w:rsidRPr="00797EA7">
        <w:rPr>
          <w:rFonts w:eastAsia="Times New Roman" w:cstheme="minorHAnsi"/>
          <w:lang w:val="cs-CZ" w:eastAsia="pl-PL"/>
        </w:rPr>
        <w:lastRenderedPageBreak/>
        <w:t xml:space="preserve">jedno ze zelených podnikání tím, že se vžijí do role zúčastněné </w:t>
      </w:r>
      <w:proofErr w:type="gramStart"/>
      <w:r w:rsidRPr="00797EA7">
        <w:rPr>
          <w:rFonts w:eastAsia="Times New Roman" w:cstheme="minorHAnsi"/>
          <w:lang w:val="cs-CZ" w:eastAsia="pl-PL"/>
        </w:rPr>
        <w:t>strany - simulace</w:t>
      </w:r>
      <w:proofErr w:type="gramEnd"/>
      <w:r w:rsidRPr="00797EA7">
        <w:rPr>
          <w:rFonts w:eastAsia="Times New Roman" w:cstheme="minorHAnsi"/>
          <w:lang w:val="cs-CZ" w:eastAsia="pl-PL"/>
        </w:rPr>
        <w:t xml:space="preserve"> modelu zeleného podnikání). Ve fázi ověřování všichni účastníci identifikují oblasti dalšího zlepšování. </w:t>
      </w:r>
    </w:p>
    <w:p w:rsidR="00B04D89" w:rsidRPr="00797EA7" w:rsidRDefault="00A46B5A">
      <w:pPr>
        <w:pStyle w:val="Nadpis1"/>
        <w:rPr>
          <w:rStyle w:val="eop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br w:type="column"/>
      </w:r>
      <w:bookmarkStart w:id="15" w:name="_Toc117681709"/>
      <w:r w:rsidR="00E27135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lastRenderedPageBreak/>
        <w:t xml:space="preserve">Kapitola </w:t>
      </w:r>
      <w:r w:rsidR="00C97F43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5</w:t>
      </w:r>
      <w:r w:rsidR="00E27135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. Analýza výsledků výzkumu</w:t>
      </w:r>
      <w:bookmarkEnd w:id="15"/>
    </w:p>
    <w:p w:rsidR="00246C4E" w:rsidRPr="00797EA7" w:rsidRDefault="00246C4E" w:rsidP="00A30D0F">
      <w:pPr>
        <w:jc w:val="both"/>
        <w:rPr>
          <w:rFonts w:cstheme="minorHAnsi"/>
          <w:lang w:val="cs-CZ"/>
        </w:rPr>
      </w:pPr>
    </w:p>
    <w:p w:rsidR="00B04D89" w:rsidRPr="00797EA7" w:rsidRDefault="00A46B5A">
      <w:pPr>
        <w:pStyle w:val="paragraph"/>
        <w:numPr>
          <w:ilvl w:val="1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  <w:t>Metodologie výzkumu</w:t>
      </w:r>
    </w:p>
    <w:p w:rsidR="00962D20" w:rsidRPr="00797EA7" w:rsidRDefault="00962D20" w:rsidP="003D3E7F">
      <w:pPr>
        <w:spacing w:before="120" w:after="120"/>
        <w:jc w:val="both"/>
        <w:rPr>
          <w:rFonts w:cstheme="minorHAnsi"/>
          <w:lang w:val="cs-CZ"/>
        </w:rPr>
      </w:pPr>
    </w:p>
    <w:p w:rsidR="00B04D89" w:rsidRPr="00797EA7" w:rsidRDefault="00A46B5A">
      <w:pPr>
        <w:jc w:val="both"/>
        <w:rPr>
          <w:rFonts w:cstheme="minorHAnsi"/>
          <w:b/>
          <w:bCs/>
          <w:color w:val="538135" w:themeColor="accent6" w:themeShade="BF"/>
          <w:u w:val="single"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>Výzkumný problém: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Vzhledem k převládajícímu lineárnímu modelu výroby a spotřeby ve světové ekonomice je zjevně nutné rozvíjet ekologické dovednosti u účastníků trhu, včetně těch v sociální ekonomice</w:t>
      </w:r>
      <w:r w:rsidR="008405D5" w:rsidRPr="00797EA7">
        <w:rPr>
          <w:rFonts w:cstheme="minorHAnsi"/>
          <w:lang w:val="cs-CZ"/>
        </w:rPr>
        <w:t>.</w:t>
      </w:r>
      <w:r w:rsidRPr="00797EA7">
        <w:rPr>
          <w:rFonts w:cstheme="minorHAnsi"/>
          <w:lang w:val="cs-CZ"/>
        </w:rPr>
        <w:t xml:space="preserve"> Tento proces by měl probíhat za účasti vhodně vybudovaného a realizovaného vzdělávacího systému orientovaného na potřeby oběhového hospodářství.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Důležitým krokem ke zlepšení ekologických dovedností </w:t>
      </w:r>
      <w:r w:rsidR="00DD0943" w:rsidRPr="00797EA7">
        <w:rPr>
          <w:rFonts w:cstheme="minorHAnsi"/>
          <w:lang w:val="cs-CZ"/>
        </w:rPr>
        <w:t xml:space="preserve">subjektů sociální ekonomiky </w:t>
      </w:r>
      <w:r w:rsidRPr="00797EA7">
        <w:rPr>
          <w:rFonts w:cstheme="minorHAnsi"/>
          <w:lang w:val="cs-CZ"/>
        </w:rPr>
        <w:t>je definování možných nedostatků v oblasti ekologických dovedností na straně studentů, učitelů a subjektů sociální ekonomiky. Bez významu není ani hodnocení vzdělávacího systému z hlediska účinnosti podpory a rozvoje těchto dovedností.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Vyvstávají tedy </w:t>
      </w: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>výzkumné otázky:</w:t>
      </w:r>
    </w:p>
    <w:p w:rsidR="00B04D89" w:rsidRPr="00797EA7" w:rsidRDefault="00A46B5A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Do jaké míry subjekty sociální ekonomiky </w:t>
      </w:r>
      <w:r w:rsidRPr="00797EA7">
        <w:rPr>
          <w:rFonts w:cstheme="minorHAnsi"/>
          <w:b/>
          <w:bCs/>
          <w:lang w:val="cs-CZ"/>
        </w:rPr>
        <w:t xml:space="preserve">disponují </w:t>
      </w:r>
      <w:r w:rsidRPr="00797EA7">
        <w:rPr>
          <w:rFonts w:cstheme="minorHAnsi"/>
          <w:lang w:val="cs-CZ"/>
        </w:rPr>
        <w:t xml:space="preserve">zelenými dovednostmi </w:t>
      </w:r>
      <w:r w:rsidRPr="00797EA7">
        <w:rPr>
          <w:rFonts w:cstheme="minorHAnsi"/>
          <w:b/>
          <w:bCs/>
          <w:lang w:val="cs-CZ"/>
        </w:rPr>
        <w:t xml:space="preserve">a rozvíjejí </w:t>
      </w:r>
      <w:r w:rsidRPr="00797EA7">
        <w:rPr>
          <w:rFonts w:cstheme="minorHAnsi"/>
          <w:lang w:val="cs-CZ"/>
        </w:rPr>
        <w:t>je adekvátně potřebám trhu?</w:t>
      </w:r>
    </w:p>
    <w:p w:rsidR="00B04D89" w:rsidRPr="00797EA7" w:rsidRDefault="00A46B5A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Existují nějaké </w:t>
      </w:r>
      <w:r w:rsidRPr="00797EA7">
        <w:rPr>
          <w:rFonts w:cstheme="minorHAnsi"/>
          <w:b/>
          <w:bCs/>
          <w:lang w:val="cs-CZ"/>
        </w:rPr>
        <w:t xml:space="preserve">mezery ve spolupráci </w:t>
      </w:r>
      <w:r w:rsidRPr="00797EA7">
        <w:rPr>
          <w:rFonts w:cstheme="minorHAnsi"/>
          <w:lang w:val="cs-CZ"/>
        </w:rPr>
        <w:t>mezi subjekty sociální ekonomiky a vzdělávacími subjekty v této oblasti?</w:t>
      </w:r>
    </w:p>
    <w:p w:rsidR="00B04D89" w:rsidRPr="00797EA7" w:rsidRDefault="00A46B5A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Poskytuje systém vysokoškolského vzdělávání </w:t>
      </w:r>
      <w:r w:rsidRPr="00797EA7">
        <w:rPr>
          <w:rFonts w:cstheme="minorHAnsi"/>
          <w:b/>
          <w:bCs/>
          <w:lang w:val="cs-CZ"/>
        </w:rPr>
        <w:t xml:space="preserve">skutečnou podporu pro </w:t>
      </w:r>
      <w:r w:rsidRPr="00797EA7">
        <w:rPr>
          <w:rFonts w:cstheme="minorHAnsi"/>
          <w:lang w:val="cs-CZ"/>
        </w:rPr>
        <w:t>získávání a rozvoj ekologických dovedností?</w:t>
      </w:r>
    </w:p>
    <w:p w:rsidR="00B04D89" w:rsidRPr="00797EA7" w:rsidRDefault="00A46B5A">
      <w:pPr>
        <w:jc w:val="both"/>
        <w:rPr>
          <w:rFonts w:cstheme="minorHAnsi"/>
          <w:b/>
          <w:bCs/>
          <w:u w:val="single"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 xml:space="preserve">Primární </w:t>
      </w:r>
      <w:r w:rsidR="00246C4E"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>cíl výzkumu: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Provést komplexní a nadnárodní výzkum s cílem ověřit, jaké zelené dovednosti mají a rozvíjejí aktéři sociální ekonomiky, aby mohli realizovat inkluzivní zelenou transformaci.</w:t>
      </w:r>
    </w:p>
    <w:p w:rsidR="00B04D89" w:rsidRPr="00797EA7" w:rsidRDefault="00A46B5A">
      <w:pPr>
        <w:jc w:val="both"/>
        <w:rPr>
          <w:rFonts w:cstheme="minorHAnsi"/>
          <w:b/>
          <w:bCs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>Specifické cíle</w:t>
      </w:r>
      <w:r w:rsidRPr="00797EA7">
        <w:rPr>
          <w:rFonts w:cstheme="minorHAnsi"/>
          <w:b/>
          <w:bCs/>
          <w:lang w:val="cs-CZ"/>
        </w:rPr>
        <w:t>:</w:t>
      </w:r>
    </w:p>
    <w:p w:rsidR="00B04D89" w:rsidRPr="00797EA7" w:rsidRDefault="00A46B5A">
      <w:pPr>
        <w:jc w:val="both"/>
        <w:rPr>
          <w:rFonts w:cstheme="minorHAnsi"/>
          <w:color w:val="538135" w:themeColor="accent6" w:themeShade="BF"/>
          <w:u w:val="single"/>
          <w:lang w:val="cs-CZ"/>
        </w:rPr>
      </w:pPr>
      <w:r w:rsidRPr="00797EA7">
        <w:rPr>
          <w:rFonts w:cstheme="minorHAnsi"/>
          <w:color w:val="538135" w:themeColor="accent6" w:themeShade="BF"/>
          <w:u w:val="single"/>
          <w:lang w:val="cs-CZ"/>
        </w:rPr>
        <w:t>V sociálních podnicích:</w:t>
      </w:r>
    </w:p>
    <w:p w:rsidR="00B04D89" w:rsidRPr="00797EA7" w:rsidRDefault="00A46B5A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Identifikovat potřeby a výzvy v oblasti zelených dovedností v sociálních podnicích v partnerských zemích projektu.</w:t>
      </w:r>
    </w:p>
    <w:p w:rsidR="00B04D89" w:rsidRPr="00797EA7" w:rsidRDefault="00A46B5A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Provést srovnávací analýzu současného stavu </w:t>
      </w:r>
      <w:r w:rsidR="00AF1713" w:rsidRPr="00797EA7">
        <w:rPr>
          <w:rFonts w:cstheme="minorHAnsi"/>
          <w:lang w:val="cs-CZ"/>
        </w:rPr>
        <w:t xml:space="preserve">techniky v </w:t>
      </w:r>
      <w:r w:rsidRPr="00797EA7">
        <w:rPr>
          <w:rFonts w:cstheme="minorHAnsi"/>
          <w:lang w:val="cs-CZ"/>
        </w:rPr>
        <w:t>každé partnerské zemi.</w:t>
      </w:r>
    </w:p>
    <w:p w:rsidR="00B04D89" w:rsidRPr="00797EA7" w:rsidRDefault="00A46B5A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Získat poznatky a údaje o faktorech ovlivňujících rozhodnutí o oběhovém hospodářství (ty </w:t>
      </w:r>
      <w:r w:rsidR="00CB3915" w:rsidRPr="00797EA7">
        <w:rPr>
          <w:rFonts w:cstheme="minorHAnsi"/>
          <w:lang w:val="cs-CZ"/>
        </w:rPr>
        <w:t xml:space="preserve">byly </w:t>
      </w:r>
      <w:r w:rsidRPr="00797EA7">
        <w:rPr>
          <w:rFonts w:cstheme="minorHAnsi"/>
          <w:lang w:val="cs-CZ"/>
        </w:rPr>
        <w:t>získány prostřednictvím hloubkových rozhovorů se zástupci zelených veřejných služeb zaměstnanosti).</w:t>
      </w:r>
    </w:p>
    <w:p w:rsidR="00B04D89" w:rsidRPr="00797EA7" w:rsidRDefault="00A46B5A">
      <w:pPr>
        <w:jc w:val="both"/>
        <w:rPr>
          <w:rFonts w:cstheme="minorHAnsi"/>
          <w:color w:val="538135" w:themeColor="accent6" w:themeShade="BF"/>
          <w:u w:val="single"/>
          <w:lang w:val="cs-CZ"/>
        </w:rPr>
      </w:pPr>
      <w:r w:rsidRPr="00797EA7">
        <w:rPr>
          <w:rFonts w:cstheme="minorHAnsi"/>
          <w:color w:val="538135" w:themeColor="accent6" w:themeShade="BF"/>
          <w:u w:val="single"/>
          <w:lang w:val="cs-CZ"/>
        </w:rPr>
        <w:t xml:space="preserve">V sektoru vysokoškolského </w:t>
      </w:r>
      <w:r w:rsidR="008316C9" w:rsidRPr="00797EA7">
        <w:rPr>
          <w:rFonts w:cstheme="minorHAnsi"/>
          <w:color w:val="538135" w:themeColor="accent6" w:themeShade="BF"/>
          <w:u w:val="single"/>
          <w:lang w:val="cs-CZ"/>
        </w:rPr>
        <w:t>vzdělávání – učitelé</w:t>
      </w:r>
      <w:r w:rsidRPr="00797EA7">
        <w:rPr>
          <w:rFonts w:cstheme="minorHAnsi"/>
          <w:color w:val="538135" w:themeColor="accent6" w:themeShade="BF"/>
          <w:u w:val="single"/>
          <w:lang w:val="cs-CZ"/>
        </w:rPr>
        <w:t>:</w:t>
      </w:r>
    </w:p>
    <w:p w:rsidR="00B04D89" w:rsidRPr="00797EA7" w:rsidRDefault="00A46B5A">
      <w:pPr>
        <w:pStyle w:val="Odstavecseseznamem"/>
        <w:numPr>
          <w:ilvl w:val="0"/>
          <w:numId w:val="3"/>
        </w:num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Identifikovat klíčové prvky (vzdělávací cíle, znalosti, dovednosti a sociální kompetence) vzdělávacích programů, které podporují získávání environmentálně zaměřených dovedností vysokoškolskými studenty v oborech souvisejících se sociální ekonomikou;</w:t>
      </w:r>
    </w:p>
    <w:p w:rsidR="00B04D89" w:rsidRPr="00797EA7" w:rsidRDefault="00A46B5A">
      <w:pPr>
        <w:pStyle w:val="Odstavecseseznamem"/>
        <w:numPr>
          <w:ilvl w:val="0"/>
          <w:numId w:val="3"/>
        </w:num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Vytvořit návrhy na úpravu vzdělávacích programů tak, aby se univerzity staly hybnou silou zelené transformace</w:t>
      </w:r>
      <w:r w:rsidR="00CB3915" w:rsidRPr="00797EA7">
        <w:rPr>
          <w:rFonts w:cstheme="minorHAnsi"/>
          <w:lang w:val="cs-CZ"/>
        </w:rPr>
        <w:t>;</w:t>
      </w:r>
    </w:p>
    <w:p w:rsidR="00B04D89" w:rsidRPr="00797EA7" w:rsidRDefault="00A46B5A">
      <w:pPr>
        <w:pStyle w:val="Odstavecseseznamem"/>
        <w:numPr>
          <w:ilvl w:val="0"/>
          <w:numId w:val="3"/>
        </w:num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Provést srovnávací studii v partnerských zemích.</w:t>
      </w:r>
    </w:p>
    <w:p w:rsidR="00B04D89" w:rsidRPr="00797EA7" w:rsidRDefault="00A46B5A">
      <w:pPr>
        <w:jc w:val="both"/>
        <w:rPr>
          <w:rFonts w:cstheme="minorHAnsi"/>
          <w:color w:val="538135" w:themeColor="accent6" w:themeShade="BF"/>
          <w:u w:val="single"/>
          <w:lang w:val="cs-CZ"/>
        </w:rPr>
      </w:pPr>
      <w:r w:rsidRPr="00797EA7">
        <w:rPr>
          <w:rFonts w:cstheme="minorHAnsi"/>
          <w:color w:val="538135" w:themeColor="accent6" w:themeShade="BF"/>
          <w:u w:val="single"/>
          <w:lang w:val="cs-CZ"/>
        </w:rPr>
        <w:br w:type="column"/>
      </w:r>
      <w:r w:rsidR="00246C4E" w:rsidRPr="00797EA7">
        <w:rPr>
          <w:rFonts w:cstheme="minorHAnsi"/>
          <w:color w:val="538135" w:themeColor="accent6" w:themeShade="BF"/>
          <w:u w:val="single"/>
          <w:lang w:val="cs-CZ"/>
        </w:rPr>
        <w:lastRenderedPageBreak/>
        <w:t xml:space="preserve">V sektoru vysokoškolského </w:t>
      </w:r>
      <w:r w:rsidR="008316C9" w:rsidRPr="00797EA7">
        <w:rPr>
          <w:rFonts w:cstheme="minorHAnsi"/>
          <w:color w:val="538135" w:themeColor="accent6" w:themeShade="BF"/>
          <w:u w:val="single"/>
          <w:lang w:val="cs-CZ"/>
        </w:rPr>
        <w:t>vzdělávání – studenti</w:t>
      </w:r>
      <w:r w:rsidR="00246C4E" w:rsidRPr="00797EA7">
        <w:rPr>
          <w:rFonts w:cstheme="minorHAnsi"/>
          <w:color w:val="538135" w:themeColor="accent6" w:themeShade="BF"/>
          <w:u w:val="single"/>
          <w:lang w:val="cs-CZ"/>
        </w:rPr>
        <w:t>:</w:t>
      </w:r>
    </w:p>
    <w:p w:rsidR="00B04D89" w:rsidRPr="00797EA7" w:rsidRDefault="00A46B5A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Ověřit, zda realizované vzdělávací programy ve vysokoškolském vzdělávání (v partnerských zemích) umožňují studentům získat ekologické dovednosti</w:t>
      </w:r>
      <w:r w:rsidR="00AE450D"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 rámci projektu byly stanoveny následující </w:t>
      </w: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>výzkumné hypotézy</w:t>
      </w:r>
      <w:r w:rsidRPr="00797EA7">
        <w:rPr>
          <w:rFonts w:cstheme="minorHAnsi"/>
          <w:lang w:val="cs-CZ"/>
        </w:rPr>
        <w:t>: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>H</w:t>
      </w:r>
      <w:proofErr w:type="gramStart"/>
      <w:r w:rsidRPr="00797EA7">
        <w:rPr>
          <w:rFonts w:cstheme="minorHAnsi"/>
          <w:b/>
          <w:bCs/>
          <w:i/>
          <w:iCs/>
          <w:color w:val="538135" w:themeColor="accent6" w:themeShade="BF"/>
          <w:vertAlign w:val="subscript"/>
          <w:lang w:val="cs-CZ"/>
        </w:rPr>
        <w:t>1</w:t>
      </w:r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 xml:space="preserve"> :</w:t>
      </w:r>
      <w:proofErr w:type="gramEnd"/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 xml:space="preserve"> </w:t>
      </w:r>
      <w:r w:rsidR="00162A77" w:rsidRPr="00797EA7">
        <w:rPr>
          <w:rFonts w:cstheme="minorHAnsi"/>
          <w:lang w:val="cs-CZ"/>
        </w:rPr>
        <w:t xml:space="preserve">Subjekty </w:t>
      </w:r>
      <w:r w:rsidRPr="00797EA7">
        <w:rPr>
          <w:rFonts w:cstheme="minorHAnsi"/>
          <w:lang w:val="cs-CZ"/>
        </w:rPr>
        <w:t>sociální ekonomiky, přestože se významně podílejí na ekologických činnostech, neprokazují významné dovednosti a kompetence v oblasti ekologických dovedností odpovídajících potřebám trhu (zaměřených na tvorbu příjmů) a jejich rozvoje</w:t>
      </w:r>
      <w:r w:rsidR="00AE450D"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>H</w:t>
      </w:r>
      <w:proofErr w:type="gramStart"/>
      <w:r w:rsidRPr="00797EA7">
        <w:rPr>
          <w:rFonts w:cstheme="minorHAnsi"/>
          <w:b/>
          <w:bCs/>
          <w:i/>
          <w:iCs/>
          <w:color w:val="538135" w:themeColor="accent6" w:themeShade="BF"/>
          <w:vertAlign w:val="subscript"/>
          <w:lang w:val="cs-CZ"/>
        </w:rPr>
        <w:t>2</w:t>
      </w:r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 xml:space="preserve"> :</w:t>
      </w:r>
      <w:proofErr w:type="gramEnd"/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 xml:space="preserve"> </w:t>
      </w:r>
      <w:r w:rsidRPr="00797EA7">
        <w:rPr>
          <w:rFonts w:cstheme="minorHAnsi"/>
          <w:lang w:val="cs-CZ"/>
        </w:rPr>
        <w:t xml:space="preserve">Nedostatky v zelených dovednostech </w:t>
      </w:r>
      <w:r w:rsidR="00CB3915" w:rsidRPr="00797EA7">
        <w:rPr>
          <w:rFonts w:cstheme="minorHAnsi"/>
          <w:lang w:val="cs-CZ"/>
        </w:rPr>
        <w:t xml:space="preserve">SEE </w:t>
      </w:r>
      <w:r w:rsidRPr="00797EA7">
        <w:rPr>
          <w:rFonts w:cstheme="minorHAnsi"/>
          <w:lang w:val="cs-CZ"/>
        </w:rPr>
        <w:t xml:space="preserve">jsou překážkou pro navazování meziodvětvové spolupráce, získávání projektů oběhového hospodářství, které jsou prospěšné pro životní prostředí, hospodářství a rozvoj samotných </w:t>
      </w:r>
      <w:r w:rsidR="00CB3915" w:rsidRPr="00797EA7">
        <w:rPr>
          <w:rFonts w:cstheme="minorHAnsi"/>
          <w:lang w:val="cs-CZ"/>
        </w:rPr>
        <w:t>SEE</w:t>
      </w:r>
      <w:r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>H</w:t>
      </w:r>
      <w:proofErr w:type="gramStart"/>
      <w:r w:rsidRPr="00797EA7">
        <w:rPr>
          <w:rFonts w:cstheme="minorHAnsi"/>
          <w:b/>
          <w:bCs/>
          <w:i/>
          <w:iCs/>
          <w:color w:val="538135" w:themeColor="accent6" w:themeShade="BF"/>
          <w:vertAlign w:val="subscript"/>
          <w:lang w:val="cs-CZ"/>
        </w:rPr>
        <w:t>3</w:t>
      </w:r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 xml:space="preserve"> :</w:t>
      </w:r>
      <w:proofErr w:type="gramEnd"/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 xml:space="preserve"> </w:t>
      </w:r>
      <w:r w:rsidRPr="00797EA7">
        <w:rPr>
          <w:rFonts w:cstheme="minorHAnsi"/>
          <w:lang w:val="cs-CZ"/>
        </w:rPr>
        <w:t>Je třeba upravit vzdělávací programy s cílem zvýšit podporu tak, aby centra vysokoškolského vzdělávání poskytovala podporu pro vytváření dovedností jako hnací síly zelené transformace.</w:t>
      </w:r>
    </w:p>
    <w:p w:rsidR="00B04D89" w:rsidRPr="00797EA7" w:rsidRDefault="00A46B5A">
      <w:pPr>
        <w:jc w:val="both"/>
        <w:rPr>
          <w:rFonts w:cstheme="minorHAnsi"/>
          <w:b/>
          <w:bCs/>
          <w:color w:val="538135" w:themeColor="accent6" w:themeShade="BF"/>
          <w:u w:val="single"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>Rozsah předmětu studie (výzkumný vzorek):</w:t>
      </w:r>
    </w:p>
    <w:p w:rsidR="00B04D89" w:rsidRPr="00797EA7" w:rsidRDefault="00CB391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SEE</w:t>
      </w:r>
      <w:r w:rsidR="00A46B5A" w:rsidRPr="00797EA7">
        <w:rPr>
          <w:rFonts w:cstheme="minorHAnsi"/>
          <w:lang w:val="cs-CZ"/>
        </w:rPr>
        <w:t xml:space="preserve">, definované jako subjekty (sociální družstva, sociální podniky, nadace, sdružení atd.), které vykonávají podnikatelskou činnost za účelem dosažení sociálních a environmentálních cílů. </w:t>
      </w:r>
      <w:r w:rsidR="00A46B5A" w:rsidRPr="00797EA7">
        <w:rPr>
          <w:rFonts w:cstheme="minorHAnsi"/>
          <w:color w:val="538135" w:themeColor="accent6" w:themeShade="BF"/>
          <w:lang w:val="cs-CZ"/>
        </w:rPr>
        <w:t xml:space="preserve">VELIKOST VZORKU: </w:t>
      </w:r>
      <w:r w:rsidR="00A46B5A" w:rsidRPr="00797EA7">
        <w:rPr>
          <w:rFonts w:cstheme="minorHAnsi"/>
          <w:lang w:val="cs-CZ"/>
        </w:rPr>
        <w:t>80 PES/20 za každou zemi.</w:t>
      </w:r>
    </w:p>
    <w:p w:rsidR="00B04D89" w:rsidRPr="00797EA7" w:rsidRDefault="00A46B5A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Vysokoškolští učitelé a studenti (bakalářského, magisterského a postgraduálního studia) </w:t>
      </w:r>
      <w:r w:rsidR="00162A77" w:rsidRPr="00797EA7">
        <w:rPr>
          <w:rFonts w:cstheme="minorHAnsi"/>
          <w:lang w:val="cs-CZ"/>
        </w:rPr>
        <w:t xml:space="preserve">oborů/kurzů </w:t>
      </w:r>
      <w:r w:rsidRPr="00797EA7">
        <w:rPr>
          <w:rFonts w:cstheme="minorHAnsi"/>
          <w:lang w:val="cs-CZ"/>
        </w:rPr>
        <w:t xml:space="preserve">souvisejících se sociální ekonomikou. </w:t>
      </w:r>
      <w:r w:rsidR="00646A4F" w:rsidRPr="00797EA7">
        <w:rPr>
          <w:rFonts w:cstheme="minorHAnsi"/>
          <w:color w:val="538135" w:themeColor="accent6" w:themeShade="BF"/>
          <w:lang w:val="cs-CZ"/>
        </w:rPr>
        <w:t>VELIKOST VZORKU:</w:t>
      </w:r>
      <w:r w:rsidRPr="00797EA7">
        <w:rPr>
          <w:rFonts w:cstheme="minorHAnsi"/>
          <w:lang w:val="cs-CZ"/>
        </w:rPr>
        <w:t>25 učitelů a 50 studentů/6 učitelů a 13 studentů za každou zemi</w:t>
      </w:r>
      <w:r w:rsidR="00AE450D" w:rsidRPr="00797EA7">
        <w:rPr>
          <w:rFonts w:cstheme="minorHAnsi"/>
          <w:lang w:val="cs-CZ"/>
        </w:rPr>
        <w:t>.</w:t>
      </w:r>
    </w:p>
    <w:p w:rsidR="00B04D89" w:rsidRPr="00797EA7" w:rsidRDefault="00A46B5A">
      <w:pPr>
        <w:jc w:val="both"/>
        <w:rPr>
          <w:rFonts w:cstheme="minorHAnsi"/>
          <w:b/>
          <w:bCs/>
          <w:color w:val="538135" w:themeColor="accent6" w:themeShade="BF"/>
          <w:u w:val="single"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>Metoda výzkumu:</w:t>
      </w:r>
    </w:p>
    <w:p w:rsidR="00B04D89" w:rsidRPr="00797EA7" w:rsidRDefault="00A46B5A">
      <w:pPr>
        <w:pStyle w:val="Odstavecseseznamem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lang w:val="cs-CZ"/>
        </w:rPr>
        <w:t xml:space="preserve">Analýza </w:t>
      </w:r>
      <w:r w:rsidR="00162A77" w:rsidRPr="00797EA7">
        <w:rPr>
          <w:rFonts w:cstheme="minorHAnsi"/>
          <w:b/>
          <w:bCs/>
          <w:color w:val="538135" w:themeColor="accent6" w:themeShade="BF"/>
          <w:lang w:val="cs-CZ"/>
        </w:rPr>
        <w:t xml:space="preserve">sekundárních </w:t>
      </w:r>
      <w:r w:rsidR="008316C9" w:rsidRPr="00797EA7">
        <w:rPr>
          <w:rFonts w:cstheme="minorHAnsi"/>
          <w:b/>
          <w:bCs/>
          <w:color w:val="538135" w:themeColor="accent6" w:themeShade="BF"/>
          <w:lang w:val="cs-CZ"/>
        </w:rPr>
        <w:t xml:space="preserve">dat </w:t>
      </w:r>
      <w:r w:rsidR="008316C9" w:rsidRPr="00797EA7">
        <w:rPr>
          <w:rFonts w:cstheme="minorHAnsi"/>
          <w:lang w:val="cs-CZ"/>
        </w:rPr>
        <w:t>– sběr</w:t>
      </w:r>
      <w:r w:rsidRPr="00797EA7">
        <w:rPr>
          <w:rFonts w:cstheme="minorHAnsi"/>
          <w:lang w:val="cs-CZ"/>
        </w:rPr>
        <w:t xml:space="preserve"> existujících údajů o zeleném </w:t>
      </w:r>
      <w:r w:rsidR="00CB3915" w:rsidRPr="00797EA7">
        <w:rPr>
          <w:rFonts w:cstheme="minorHAnsi"/>
          <w:lang w:val="cs-CZ"/>
        </w:rPr>
        <w:t xml:space="preserve">SEE </w:t>
      </w:r>
      <w:r w:rsidRPr="00797EA7">
        <w:rPr>
          <w:rFonts w:cstheme="minorHAnsi"/>
          <w:lang w:val="cs-CZ"/>
        </w:rPr>
        <w:t xml:space="preserve">a zelených dovednostech studentů; </w:t>
      </w:r>
    </w:p>
    <w:p w:rsidR="00B04D89" w:rsidRPr="00797EA7" w:rsidRDefault="00A46B5A">
      <w:pPr>
        <w:pStyle w:val="Odstavecseseznamem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lang w:val="cs-CZ"/>
        </w:rPr>
        <w:t xml:space="preserve">Diagnostický průzkum </w:t>
      </w:r>
      <w:r w:rsidRPr="00797EA7">
        <w:rPr>
          <w:rFonts w:cstheme="minorHAnsi"/>
          <w:lang w:val="cs-CZ"/>
        </w:rPr>
        <w:t>pomocí dvou nástrojů:</w:t>
      </w:r>
    </w:p>
    <w:p w:rsidR="00B04D89" w:rsidRPr="00797EA7" w:rsidRDefault="00246C4E">
      <w:pPr>
        <w:pStyle w:val="Odstavecseseznamem"/>
        <w:numPr>
          <w:ilvl w:val="1"/>
          <w:numId w:val="2"/>
        </w:numPr>
        <w:ind w:left="567" w:hanging="283"/>
        <w:jc w:val="both"/>
        <w:rPr>
          <w:rFonts w:cstheme="minorHAnsi"/>
          <w:lang w:val="cs-CZ"/>
        </w:rPr>
      </w:pPr>
      <w:r w:rsidRPr="00797EA7">
        <w:rPr>
          <w:rFonts w:cstheme="minorHAnsi"/>
          <w:color w:val="538135" w:themeColor="accent6" w:themeShade="BF"/>
          <w:u w:val="single"/>
          <w:lang w:val="cs-CZ"/>
        </w:rPr>
        <w:t xml:space="preserve"> </w:t>
      </w:r>
      <w:r w:rsidR="008316C9" w:rsidRPr="00797EA7">
        <w:rPr>
          <w:rFonts w:cstheme="minorHAnsi"/>
          <w:color w:val="538135" w:themeColor="accent6" w:themeShade="BF"/>
          <w:u w:val="single"/>
          <w:lang w:val="cs-CZ"/>
        </w:rPr>
        <w:t xml:space="preserve">Dotazník </w:t>
      </w:r>
      <w:r w:rsidR="008316C9" w:rsidRPr="00797EA7">
        <w:rPr>
          <w:rFonts w:cstheme="minorHAnsi"/>
          <w:lang w:val="cs-CZ"/>
        </w:rPr>
        <w:t>– umožní</w:t>
      </w:r>
      <w:r w:rsidRPr="00797EA7">
        <w:rPr>
          <w:rFonts w:cstheme="minorHAnsi"/>
          <w:lang w:val="cs-CZ"/>
        </w:rPr>
        <w:t xml:space="preserve"> partnerům ověřit údaje stejným způsobem jako pomocí statistických metod.</w:t>
      </w:r>
    </w:p>
    <w:p w:rsidR="00B04D89" w:rsidRPr="00797EA7" w:rsidRDefault="00246C4E">
      <w:pPr>
        <w:pStyle w:val="Odstavecseseznamem"/>
        <w:numPr>
          <w:ilvl w:val="1"/>
          <w:numId w:val="2"/>
        </w:numPr>
        <w:spacing w:after="120"/>
        <w:ind w:left="568" w:hanging="284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color w:val="538135" w:themeColor="accent6" w:themeShade="BF"/>
          <w:u w:val="single"/>
          <w:lang w:val="cs-CZ"/>
        </w:rPr>
        <w:t xml:space="preserve"> Hloubkové </w:t>
      </w:r>
      <w:r w:rsidR="008316C9" w:rsidRPr="00797EA7">
        <w:rPr>
          <w:rFonts w:cstheme="minorHAnsi"/>
          <w:color w:val="538135" w:themeColor="accent6" w:themeShade="BF"/>
          <w:u w:val="single"/>
          <w:lang w:val="cs-CZ"/>
        </w:rPr>
        <w:t xml:space="preserve">rozhovory </w:t>
      </w:r>
      <w:r w:rsidR="008316C9" w:rsidRPr="00797EA7">
        <w:rPr>
          <w:rFonts w:cstheme="minorHAnsi"/>
          <w:lang w:val="cs-CZ"/>
        </w:rPr>
        <w:t>– poskytnou</w:t>
      </w:r>
      <w:r w:rsidRPr="00797EA7">
        <w:rPr>
          <w:rFonts w:cstheme="minorHAnsi"/>
          <w:lang w:val="cs-CZ"/>
        </w:rPr>
        <w:t xml:space="preserve"> podrobnější pohled na danou problematiku. Kromě toho k/ze hloubkových rozhovorů partneři shromáždí soubor případových studií </w:t>
      </w:r>
      <w:r w:rsidR="00CB3915" w:rsidRPr="00797EA7">
        <w:rPr>
          <w:rFonts w:cstheme="minorHAnsi"/>
          <w:lang w:val="cs-CZ"/>
        </w:rPr>
        <w:t xml:space="preserve">SEE, </w:t>
      </w:r>
      <w:r w:rsidRPr="00797EA7">
        <w:rPr>
          <w:rFonts w:cstheme="minorHAnsi"/>
          <w:lang w:val="cs-CZ"/>
        </w:rPr>
        <w:t>které působí v hospodářských odvětvích s environmentálními cíli (např. rozvoj venkova, obnovitelné zdroje energie, opětovné využití a recyklace, udržitelné bydlení a zemědělství) a/nebo do svých činností zahrnují ekologické postupy a přístupy šetrné k životnímu prostředí.</w:t>
      </w:r>
    </w:p>
    <w:p w:rsidR="00B04D89" w:rsidRPr="00797EA7" w:rsidRDefault="00A46B5A">
      <w:pPr>
        <w:jc w:val="both"/>
        <w:rPr>
          <w:rFonts w:cstheme="minorHAnsi"/>
          <w:b/>
          <w:bCs/>
          <w:color w:val="538135" w:themeColor="accent6" w:themeShade="BF"/>
          <w:u w:val="single"/>
          <w:lang w:val="cs-CZ"/>
        </w:rPr>
      </w:pPr>
      <w:r w:rsidRPr="00797EA7">
        <w:rPr>
          <w:rFonts w:cstheme="minorHAnsi"/>
          <w:b/>
          <w:bCs/>
          <w:color w:val="538135" w:themeColor="accent6" w:themeShade="BF"/>
          <w:u w:val="single"/>
          <w:lang w:val="cs-CZ"/>
        </w:rPr>
        <w:t xml:space="preserve">Konečný výsledek: 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Vypracovat teoretický model vzdělávacího programu SDG </w:t>
      </w:r>
      <w:proofErr w:type="spellStart"/>
      <w:r w:rsidRPr="00797EA7">
        <w:rPr>
          <w:rFonts w:cstheme="minorHAnsi"/>
          <w:lang w:val="cs-CZ"/>
        </w:rPr>
        <w:t>Labs</w:t>
      </w:r>
      <w:proofErr w:type="spellEnd"/>
      <w:r w:rsidRPr="00797EA7">
        <w:rPr>
          <w:rFonts w:cstheme="minorHAnsi"/>
          <w:lang w:val="cs-CZ"/>
        </w:rPr>
        <w:t xml:space="preserve"> popisující klíčový vzdělávací přístup (metodika </w:t>
      </w:r>
      <w:proofErr w:type="spellStart"/>
      <w:r w:rsidRPr="00797EA7">
        <w:rPr>
          <w:rFonts w:cstheme="minorHAnsi"/>
          <w:lang w:val="cs-CZ"/>
        </w:rPr>
        <w:t>Living</w:t>
      </w:r>
      <w:proofErr w:type="spellEnd"/>
      <w:r w:rsidRPr="00797EA7">
        <w:rPr>
          <w:rFonts w:cstheme="minorHAnsi"/>
          <w:lang w:val="cs-CZ"/>
        </w:rPr>
        <w:t xml:space="preserve"> </w:t>
      </w:r>
      <w:proofErr w:type="spellStart"/>
      <w:r w:rsidRPr="00797EA7">
        <w:rPr>
          <w:rFonts w:cstheme="minorHAnsi"/>
          <w:lang w:val="cs-CZ"/>
        </w:rPr>
        <w:t>Labs</w:t>
      </w:r>
      <w:proofErr w:type="spellEnd"/>
      <w:r w:rsidRPr="00797EA7">
        <w:rPr>
          <w:rFonts w:cstheme="minorHAnsi"/>
          <w:lang w:val="cs-CZ"/>
        </w:rPr>
        <w:t xml:space="preserve">, učení založené na simulaci), jeho klíčové prvky (model spoluvytváření plátna, simulační obchodní modely SDG, letní škola) a provozní aspekty SDG </w:t>
      </w:r>
      <w:proofErr w:type="spellStart"/>
      <w:r w:rsidRPr="00797EA7">
        <w:rPr>
          <w:rFonts w:cstheme="minorHAnsi"/>
          <w:lang w:val="cs-CZ"/>
        </w:rPr>
        <w:t>Labs</w:t>
      </w:r>
      <w:proofErr w:type="spellEnd"/>
      <w:r w:rsidRPr="00797EA7">
        <w:rPr>
          <w:rFonts w:cstheme="minorHAnsi"/>
          <w:lang w:val="cs-CZ"/>
        </w:rPr>
        <w:t>, které budou inkubovány ve vysokoškolských institucích nabízejících vzdělávání v oblasti SE.</w:t>
      </w:r>
    </w:p>
    <w:p w:rsidR="00B04D89" w:rsidRPr="00797EA7" w:rsidRDefault="00A46B5A">
      <w:pPr>
        <w:pStyle w:val="paragraph"/>
        <w:numPr>
          <w:ilvl w:val="1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Fonts w:asciiTheme="minorHAnsi" w:eastAsiaTheme="minorHAnsi" w:hAnsiTheme="minorHAnsi" w:cstheme="minorHAnsi"/>
          <w:lang w:val="cs-CZ" w:eastAsia="en-US"/>
        </w:rPr>
        <w:br w:type="column"/>
      </w:r>
      <w:r w:rsidRPr="00797EA7"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  <w:lastRenderedPageBreak/>
        <w:t>Ekologické dovednosti v podnicích sociální ekonomiky</w:t>
      </w:r>
    </w:p>
    <w:p w:rsidR="009A7EC5" w:rsidRPr="00797EA7" w:rsidRDefault="009A7EC5" w:rsidP="009A7E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538135" w:themeColor="accent6" w:themeShade="BF"/>
          <w:lang w:val="cs-CZ"/>
        </w:rPr>
      </w:pPr>
    </w:p>
    <w:p w:rsidR="00B04D89" w:rsidRPr="00797EA7" w:rsidRDefault="00A46B5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lang w:val="cs-CZ"/>
        </w:rPr>
      </w:pPr>
      <w:r w:rsidRPr="00797EA7">
        <w:rPr>
          <w:rStyle w:val="normaltextrun"/>
          <w:rFonts w:ascii="Calibri" w:hAnsi="Calibri" w:cs="Calibri"/>
          <w:lang w:val="cs-CZ"/>
        </w:rPr>
        <w:t xml:space="preserve">V rámci výzkumu se </w:t>
      </w:r>
      <w:r w:rsidR="00176FFF" w:rsidRPr="00797EA7">
        <w:rPr>
          <w:rStyle w:val="normaltextrun"/>
          <w:rFonts w:ascii="Calibri" w:hAnsi="Calibri" w:cs="Calibri"/>
          <w:lang w:val="cs-CZ"/>
        </w:rPr>
        <w:t>zúčastnilo</w:t>
      </w:r>
      <w:r w:rsidRPr="00797EA7">
        <w:rPr>
          <w:rStyle w:val="normaltextrun"/>
          <w:rFonts w:ascii="Calibri" w:hAnsi="Calibri" w:cs="Calibri"/>
          <w:lang w:val="cs-CZ"/>
        </w:rPr>
        <w:t xml:space="preserve"> 81 podniků sociální ekonomiky (dále jen SEE nebo subjekty</w:t>
      </w:r>
      <w:r w:rsidR="00407F80" w:rsidRPr="00797EA7">
        <w:rPr>
          <w:rStyle w:val="normaltextrun"/>
          <w:rFonts w:ascii="Calibri" w:hAnsi="Calibri" w:cs="Calibri"/>
          <w:lang w:val="cs-CZ"/>
        </w:rPr>
        <w:t>)</w:t>
      </w:r>
      <w:r w:rsidRPr="00797EA7">
        <w:rPr>
          <w:rStyle w:val="normaltextrun"/>
          <w:rFonts w:ascii="Calibri" w:hAnsi="Calibri" w:cs="Calibri"/>
          <w:lang w:val="cs-CZ"/>
        </w:rPr>
        <w:t xml:space="preserve">. </w:t>
      </w:r>
      <w:r w:rsidR="00D3433B" w:rsidRPr="00797EA7">
        <w:rPr>
          <w:rStyle w:val="normaltextrun"/>
          <w:rFonts w:ascii="Calibri" w:hAnsi="Calibri" w:cs="Calibri"/>
          <w:lang w:val="cs-CZ"/>
        </w:rPr>
        <w:t>Průměrný počet let působení SEE činil více než 8 let, přičemž nejkratší působení bylo 0,5 roku a nejdelší 32 let. Nejdéle působící SEE se nacházely v České republice.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Téměř 2/3 respondentů (65,4 %) se setkaly s pojmem "zelené dovednosti". Každý čtvrtý respondent (23,5 %) o tomto termínu nikdy neslyšel a 11,1 % si nebylo jisto, zda jej zná. </w:t>
      </w:r>
      <w:r w:rsidR="00F468ED" w:rsidRPr="00797EA7">
        <w:rPr>
          <w:lang w:val="cs-CZ"/>
        </w:rPr>
        <w:t>Většina respondentů chápe pojem "zelené dovednosti" jako "znalosti, schopnosti, hodnoty a postoje potřebné k rozvoji a podpoře společnosti, která snižuje dopad lidských činností na životní prostředí" (</w:t>
      </w:r>
      <w:r w:rsidR="00A8085E" w:rsidRPr="00797EA7">
        <w:rPr>
          <w:lang w:val="cs-CZ"/>
        </w:rPr>
        <w:t>65</w:t>
      </w:r>
      <w:r w:rsidR="00F468ED" w:rsidRPr="00797EA7">
        <w:rPr>
          <w:lang w:val="cs-CZ"/>
        </w:rPr>
        <w:t xml:space="preserve">,4 %) (tabulka </w:t>
      </w:r>
      <w:r w:rsidR="0085381B" w:rsidRPr="00797EA7">
        <w:rPr>
          <w:lang w:val="cs-CZ"/>
        </w:rPr>
        <w:t>1</w:t>
      </w:r>
      <w:r w:rsidR="00F468ED" w:rsidRPr="00797EA7">
        <w:rPr>
          <w:lang w:val="cs-CZ"/>
        </w:rPr>
        <w:t xml:space="preserve">). Třetina z nich chápe tento pojem jako: "ekologické životní prostředí": "boj proti změně klimatu". Jako "změna klimatu" jej </w:t>
      </w:r>
      <w:r w:rsidR="00A8085E" w:rsidRPr="00797EA7">
        <w:rPr>
          <w:lang w:val="cs-CZ"/>
        </w:rPr>
        <w:t xml:space="preserve">označilo </w:t>
      </w:r>
      <w:r w:rsidR="00D414CC" w:rsidRPr="00797EA7">
        <w:rPr>
          <w:lang w:val="cs-CZ"/>
        </w:rPr>
        <w:t xml:space="preserve">26 </w:t>
      </w:r>
      <w:r w:rsidR="00A8085E" w:rsidRPr="00797EA7">
        <w:rPr>
          <w:lang w:val="cs-CZ"/>
        </w:rPr>
        <w:t xml:space="preserve">respondentů </w:t>
      </w:r>
      <w:r w:rsidR="00D414CC" w:rsidRPr="00797EA7">
        <w:rPr>
          <w:lang w:val="cs-CZ"/>
        </w:rPr>
        <w:t>(32,1 %):</w:t>
      </w:r>
      <w:r w:rsidR="00F468ED" w:rsidRPr="00797EA7">
        <w:rPr>
          <w:lang w:val="cs-CZ"/>
        </w:rPr>
        <w:t xml:space="preserve"> "přechod na nízkouhlíkové hospodářství". Nejméně respondentů (</w:t>
      </w:r>
      <w:r w:rsidR="00D414CC" w:rsidRPr="00797EA7">
        <w:rPr>
          <w:lang w:val="cs-CZ"/>
        </w:rPr>
        <w:t>29</w:t>
      </w:r>
      <w:r w:rsidR="00F468ED" w:rsidRPr="00797EA7">
        <w:rPr>
          <w:lang w:val="cs-CZ"/>
        </w:rPr>
        <w:t>,6 %), uvádí, že tento pojem souvisí s: "klimatickou změnou</w:t>
      </w:r>
      <w:r w:rsidR="00D414CC" w:rsidRPr="00797EA7">
        <w:rPr>
          <w:lang w:val="cs-CZ"/>
        </w:rPr>
        <w:t xml:space="preserve">": </w:t>
      </w:r>
      <w:r w:rsidR="00F468ED" w:rsidRPr="00797EA7">
        <w:rPr>
          <w:lang w:val="cs-CZ"/>
        </w:rPr>
        <w:t>"</w:t>
      </w:r>
      <w:r w:rsidR="00D414CC" w:rsidRPr="00797EA7">
        <w:rPr>
          <w:lang w:val="cs-CZ"/>
        </w:rPr>
        <w:t xml:space="preserve">přechod na nízkouhlíkové hospodářství", "nová </w:t>
      </w:r>
      <w:r w:rsidR="00F468ED" w:rsidRPr="00797EA7">
        <w:rPr>
          <w:lang w:val="cs-CZ"/>
        </w:rPr>
        <w:t>hospodářská odvětví šetrná k životnímu prostředí" a "ekologické výrobky/služby".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16" w:name="_Toc107410700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85381B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1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Identifikace pojmu "zelené dovednosti</w:t>
      </w:r>
      <w:bookmarkEnd w:id="16"/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007"/>
        <w:gridCol w:w="1113"/>
        <w:gridCol w:w="1135"/>
        <w:gridCol w:w="884"/>
        <w:gridCol w:w="1531"/>
        <w:gridCol w:w="993"/>
        <w:gridCol w:w="2409"/>
      </w:tblGrid>
      <w:tr w:rsidR="00F468ED" w:rsidRPr="00797EA7" w:rsidTr="00A46B5A">
        <w:tc>
          <w:tcPr>
            <w:tcW w:w="10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468ED" w:rsidRPr="00797EA7" w:rsidRDefault="00F468ED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nízkouhlíkové hospodářství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oběhové hospodářství (uzavřená ekonomika).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boj proti změně klimatu</w:t>
            </w:r>
          </w:p>
        </w:tc>
        <w:tc>
          <w:tcPr>
            <w:tcW w:w="153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nová hospodářská odvětví šetrná k životnímu prostředí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zelené produkty/služby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znalosti, schopnosti, hodnoty a postoje potřebné k rozvoji a podpoře společnosti, která snižuje dopad lidských činností na životní prostředí.</w:t>
            </w:r>
          </w:p>
        </w:tc>
      </w:tr>
      <w:tr w:rsidR="007D7B52" w:rsidRPr="00797EA7" w:rsidTr="00A46B5A"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</w:t>
            </w:r>
          </w:p>
        </w:tc>
      </w:tr>
      <w:tr w:rsidR="007D7B52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13</w:t>
            </w:r>
          </w:p>
        </w:tc>
      </w:tr>
      <w:tr w:rsidR="007D7B52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16</w:t>
            </w:r>
          </w:p>
        </w:tc>
      </w:tr>
      <w:tr w:rsidR="007D7B52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18</w:t>
            </w:r>
          </w:p>
        </w:tc>
      </w:tr>
      <w:tr w:rsidR="007D7B52" w:rsidRPr="00797EA7" w:rsidTr="00A46B5A"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53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jc w:val="both"/>
        <w:rPr>
          <w:lang w:val="cs-CZ"/>
        </w:rPr>
      </w:pPr>
      <w:r w:rsidRPr="00797EA7">
        <w:rPr>
          <w:lang w:val="cs-CZ"/>
        </w:rPr>
        <w:t xml:space="preserve">Většina zástupců SEE se s pojmem "zelené dovednosti" setkala v </w:t>
      </w:r>
      <w:r w:rsidR="00BD5E74" w:rsidRPr="00797EA7">
        <w:rPr>
          <w:lang w:val="cs-CZ"/>
        </w:rPr>
        <w:t xml:space="preserve">sociálních médiích (32,1 %) a ve </w:t>
      </w:r>
      <w:r w:rsidRPr="00797EA7">
        <w:rPr>
          <w:lang w:val="cs-CZ"/>
        </w:rPr>
        <w:t>vědeckých článcích (</w:t>
      </w:r>
      <w:r w:rsidR="00BD5E74" w:rsidRPr="00797EA7">
        <w:rPr>
          <w:lang w:val="cs-CZ"/>
        </w:rPr>
        <w:t>28,</w:t>
      </w:r>
      <w:r w:rsidRPr="00797EA7">
        <w:rPr>
          <w:lang w:val="cs-CZ"/>
        </w:rPr>
        <w:t xml:space="preserve">3 %) (tabulka </w:t>
      </w:r>
      <w:r w:rsidR="0085381B" w:rsidRPr="00797EA7">
        <w:rPr>
          <w:lang w:val="cs-CZ"/>
        </w:rPr>
        <w:t>2</w:t>
      </w:r>
      <w:r w:rsidRPr="00797EA7">
        <w:rPr>
          <w:lang w:val="cs-CZ"/>
        </w:rPr>
        <w:t xml:space="preserve">). Tisk jako zdroj informací o termínu "zelené dovednosti" uvedlo </w:t>
      </w:r>
      <w:r w:rsidR="00BD5E74" w:rsidRPr="00797EA7">
        <w:rPr>
          <w:lang w:val="cs-CZ"/>
        </w:rPr>
        <w:t>22</w:t>
      </w:r>
      <w:r w:rsidRPr="00797EA7">
        <w:rPr>
          <w:lang w:val="cs-CZ"/>
        </w:rPr>
        <w:t xml:space="preserve">,2 % </w:t>
      </w:r>
      <w:r w:rsidR="00176FFF" w:rsidRPr="00797EA7">
        <w:rPr>
          <w:lang w:val="cs-CZ"/>
        </w:rPr>
        <w:t>respondentů</w:t>
      </w:r>
      <w:r w:rsidRPr="00797EA7">
        <w:rPr>
          <w:lang w:val="cs-CZ"/>
        </w:rPr>
        <w:t xml:space="preserve">. Při využití možnosti uvést jiné místo respondenti zdůraznili, že se s tímto termínem nesetkali. To může znamenat, že tento termín není mezi dotázanými </w:t>
      </w:r>
      <w:r w:rsidR="00BD5E74" w:rsidRPr="00797EA7">
        <w:rPr>
          <w:lang w:val="cs-CZ"/>
        </w:rPr>
        <w:t xml:space="preserve">respondenty "zelených dovedností" </w:t>
      </w:r>
      <w:r w:rsidRPr="00797EA7">
        <w:rPr>
          <w:lang w:val="cs-CZ"/>
        </w:rPr>
        <w:t xml:space="preserve">populární, což může být překvapivé. Pouze </w:t>
      </w:r>
      <w:r w:rsidR="00BD5E74" w:rsidRPr="00797EA7">
        <w:rPr>
          <w:lang w:val="cs-CZ"/>
        </w:rPr>
        <w:t xml:space="preserve">13 </w:t>
      </w:r>
      <w:r w:rsidRPr="00797EA7">
        <w:rPr>
          <w:lang w:val="cs-CZ"/>
        </w:rPr>
        <w:t xml:space="preserve">respondentů se s tímto termínem seznámilo prostřednictvím </w:t>
      </w:r>
      <w:r w:rsidR="00BD5E74" w:rsidRPr="00797EA7">
        <w:rPr>
          <w:lang w:val="cs-CZ"/>
        </w:rPr>
        <w:t xml:space="preserve">akademických konferencí a 12 z nich prostřednictvím </w:t>
      </w:r>
      <w:r w:rsidRPr="00797EA7">
        <w:rPr>
          <w:lang w:val="cs-CZ"/>
        </w:rPr>
        <w:t xml:space="preserve">studijního programu. To představuje něco málo přes </w:t>
      </w:r>
      <w:r w:rsidR="00BD5E74" w:rsidRPr="00797EA7">
        <w:rPr>
          <w:lang w:val="cs-CZ"/>
        </w:rPr>
        <w:t>16 %</w:t>
      </w:r>
      <w:r w:rsidRPr="00797EA7">
        <w:rPr>
          <w:lang w:val="cs-CZ"/>
        </w:rPr>
        <w:t xml:space="preserve">.  </w:t>
      </w:r>
    </w:p>
    <w:p w:rsidR="006D5D45" w:rsidRPr="00797EA7" w:rsidRDefault="006D5D45" w:rsidP="006D5D45">
      <w:pPr>
        <w:jc w:val="both"/>
        <w:rPr>
          <w:lang w:val="cs-CZ"/>
        </w:rPr>
      </w:pP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17" w:name="_Toc107410701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85381B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2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Zdroje, ze kterých pochází pojem "zelené dovednosti</w:t>
      </w:r>
      <w:bookmarkEnd w:id="17"/>
      <w:r w:rsidR="00646A4F" w:rsidRPr="00797EA7">
        <w:rPr>
          <w:i w:val="0"/>
          <w:iCs w:val="0"/>
          <w:color w:val="auto"/>
          <w:sz w:val="24"/>
          <w:szCs w:val="24"/>
          <w:lang w:val="cs-CZ"/>
        </w:rPr>
        <w:t>”</w:t>
      </w:r>
    </w:p>
    <w:tbl>
      <w:tblPr>
        <w:tblStyle w:val="Mkatabulky"/>
        <w:tblW w:w="9287" w:type="dxa"/>
        <w:tblLayout w:type="fixed"/>
        <w:tblLook w:val="04A0" w:firstRow="1" w:lastRow="0" w:firstColumn="1" w:lastColumn="0" w:noHBand="0" w:noVBand="1"/>
      </w:tblPr>
      <w:tblGrid>
        <w:gridCol w:w="1007"/>
        <w:gridCol w:w="1261"/>
        <w:gridCol w:w="1152"/>
        <w:gridCol w:w="1258"/>
        <w:gridCol w:w="1152"/>
        <w:gridCol w:w="1152"/>
        <w:gridCol w:w="1152"/>
        <w:gridCol w:w="1153"/>
      </w:tblGrid>
      <w:tr w:rsidR="006D5D45" w:rsidRPr="00797EA7" w:rsidTr="00A46B5A">
        <w:tc>
          <w:tcPr>
            <w:tcW w:w="10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D5D45" w:rsidRPr="00797EA7" w:rsidRDefault="006D5D45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studijní program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vědecké práce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akademické konference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tisk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sociální média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televize</w:t>
            </w: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další</w:t>
            </w:r>
          </w:p>
        </w:tc>
      </w:tr>
      <w:tr w:rsidR="006D5D45" w:rsidRPr="00797EA7" w:rsidTr="00A46B5A"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6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</w:tr>
      <w:tr w:rsidR="006D5D45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</w:tr>
      <w:tr w:rsidR="006D5D45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</w:tr>
      <w:tr w:rsidR="006D5D45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9</w:t>
            </w:r>
          </w:p>
        </w:tc>
      </w:tr>
      <w:tr w:rsidR="006D5D45" w:rsidRPr="00797EA7" w:rsidTr="00A46B5A"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17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(.) - jev se nevyskytl</w:t>
      </w:r>
    </w:p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6D5D45" w:rsidRPr="00797EA7" w:rsidRDefault="006D5D45" w:rsidP="006D5D45">
      <w:pPr>
        <w:jc w:val="both"/>
        <w:rPr>
          <w:lang w:val="cs-CZ"/>
        </w:rPr>
      </w:pP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lastRenderedPageBreak/>
        <w:t>Během průzkumu byli respondenti rovněž dotazováni na znalost pojmu "oběhové hospodářství". Většina z nich uvedla, že se jedná o "recyklaci a využití materiálů v procesech výroby, distribuce nebo spotřeby" (</w:t>
      </w:r>
      <w:r w:rsidR="0093602D" w:rsidRPr="00797EA7">
        <w:rPr>
          <w:lang w:val="cs-CZ"/>
        </w:rPr>
        <w:t xml:space="preserve">79 %) </w:t>
      </w:r>
      <w:r w:rsidRPr="00797EA7">
        <w:rPr>
          <w:lang w:val="cs-CZ"/>
        </w:rPr>
        <w:t>nebo "opětovné využití přírodních zdrojů" (45,7 %). Tyto hodnoty jsou podobné výsledkům předchozích studií (</w:t>
      </w:r>
      <w:r w:rsidR="005C7BF2" w:rsidRPr="00797EA7">
        <w:rPr>
          <w:lang w:val="cs-CZ"/>
        </w:rPr>
        <w:t>Szczygieł, 2020)</w:t>
      </w:r>
      <w:r w:rsidRPr="00797EA7">
        <w:rPr>
          <w:lang w:val="cs-CZ"/>
        </w:rPr>
        <w:t>.</w:t>
      </w:r>
    </w:p>
    <w:p w:rsidR="00B04D89" w:rsidRPr="00797EA7" w:rsidRDefault="00A46B5A">
      <w:pPr>
        <w:spacing w:after="120"/>
        <w:jc w:val="both"/>
        <w:rPr>
          <w:rStyle w:val="normaltextrun"/>
          <w:lang w:val="cs-CZ"/>
        </w:rPr>
      </w:pPr>
      <w:r w:rsidRPr="00797EA7">
        <w:rPr>
          <w:lang w:val="cs-CZ"/>
        </w:rPr>
        <w:t xml:space="preserve">Když </w:t>
      </w:r>
      <w:r w:rsidRPr="00797EA7">
        <w:rPr>
          <w:rStyle w:val="normaltextrun"/>
          <w:rFonts w:ascii="Calibri" w:hAnsi="Calibri" w:cs="Calibri"/>
          <w:lang w:val="cs-CZ"/>
        </w:rPr>
        <w:t xml:space="preserve">byli zástupci SEE dotázáni, do jaké míry mají lidé pracující/stážisté v jejich organizaci možnost získat ekologické dovednosti, </w:t>
      </w:r>
      <w:r w:rsidRPr="00797EA7">
        <w:rPr>
          <w:lang w:val="cs-CZ"/>
        </w:rPr>
        <w:t>většina z nich uvedla jako hodnocení "</w:t>
      </w:r>
      <w:r w:rsidRPr="00797EA7">
        <w:rPr>
          <w:i/>
          <w:iCs/>
          <w:lang w:val="cs-CZ"/>
        </w:rPr>
        <w:t>3</w:t>
      </w:r>
      <w:r w:rsidRPr="00797EA7">
        <w:rPr>
          <w:lang w:val="cs-CZ"/>
        </w:rPr>
        <w:t>". Vzhledem ke stupnici, kde 1 znamenala "</w:t>
      </w:r>
      <w:r w:rsidRPr="00797EA7">
        <w:rPr>
          <w:i/>
          <w:iCs/>
          <w:lang w:val="cs-CZ"/>
        </w:rPr>
        <w:t xml:space="preserve">v žádném případě" </w:t>
      </w:r>
      <w:r w:rsidRPr="00797EA7">
        <w:rPr>
          <w:lang w:val="cs-CZ"/>
        </w:rPr>
        <w:t>a 5 znamenalo "</w:t>
      </w:r>
      <w:r w:rsidRPr="00797EA7">
        <w:rPr>
          <w:i/>
          <w:iCs/>
          <w:lang w:val="cs-CZ"/>
        </w:rPr>
        <w:t xml:space="preserve">plně", </w:t>
      </w:r>
      <w:r w:rsidRPr="00797EA7">
        <w:rPr>
          <w:lang w:val="cs-CZ"/>
        </w:rPr>
        <w:t xml:space="preserve">bylo možné spočítat základní statistické údaje: průměrnou hodnotu a směrodatnou odchylku. U </w:t>
      </w:r>
      <w:r w:rsidR="006B10EF" w:rsidRPr="00797EA7">
        <w:rPr>
          <w:lang w:val="cs-CZ"/>
        </w:rPr>
        <w:t xml:space="preserve">této otázky </w:t>
      </w:r>
      <w:r w:rsidRPr="00797EA7">
        <w:rPr>
          <w:lang w:val="cs-CZ"/>
        </w:rPr>
        <w:t>činil průměr 3,1, což by se dalo interpretovat jako bližší tvrzení "</w:t>
      </w:r>
      <w:r w:rsidRPr="00797EA7">
        <w:rPr>
          <w:i/>
          <w:iCs/>
          <w:lang w:val="cs-CZ"/>
        </w:rPr>
        <w:t>v plně"</w:t>
      </w:r>
      <w:r w:rsidRPr="00797EA7">
        <w:rPr>
          <w:lang w:val="cs-CZ"/>
        </w:rPr>
        <w:t xml:space="preserve">. Směrodatná odchylka činila 1,17, což může znamenat velkou odchylku až o jednu známku v plusu nebo mínusu. Podle zemí byl nejvyšší průměr zaznamenán v </w:t>
      </w:r>
      <w:r w:rsidR="00D76D4D" w:rsidRPr="00797EA7">
        <w:rPr>
          <w:lang w:val="cs-CZ"/>
        </w:rPr>
        <w:t xml:space="preserve">Řecku </w:t>
      </w:r>
      <w:r w:rsidRPr="00797EA7">
        <w:rPr>
          <w:lang w:val="cs-CZ"/>
        </w:rPr>
        <w:t>(3,</w:t>
      </w:r>
      <w:r w:rsidR="00D76D4D" w:rsidRPr="00797EA7">
        <w:rPr>
          <w:lang w:val="cs-CZ"/>
        </w:rPr>
        <w:t xml:space="preserve">6) </w:t>
      </w:r>
      <w:r w:rsidRPr="00797EA7">
        <w:rPr>
          <w:lang w:val="cs-CZ"/>
        </w:rPr>
        <w:t>a nejnižší v Česku (2,</w:t>
      </w:r>
      <w:r w:rsidR="00D76D4D" w:rsidRPr="00797EA7">
        <w:rPr>
          <w:lang w:val="cs-CZ"/>
        </w:rPr>
        <w:t>5)</w:t>
      </w:r>
      <w:r w:rsidRPr="00797EA7">
        <w:rPr>
          <w:lang w:val="cs-CZ"/>
        </w:rPr>
        <w:t>.</w:t>
      </w:r>
    </w:p>
    <w:p w:rsidR="00B04D89" w:rsidRPr="00797EA7" w:rsidRDefault="00A46B5A">
      <w:pPr>
        <w:spacing w:after="200"/>
        <w:jc w:val="both"/>
        <w:rPr>
          <w:lang w:val="cs-CZ"/>
        </w:rPr>
      </w:pPr>
      <w:r w:rsidRPr="00797EA7">
        <w:rPr>
          <w:lang w:val="cs-CZ"/>
        </w:rPr>
        <w:t>Při analýze míry osvojení ekologických dovedností na místě stáže zástupci SEE uvedli, že nejvyšší je osvojení "schopnosti přizpůsobit se budoucím výzvám" (průměr: 3,</w:t>
      </w:r>
      <w:r w:rsidR="0016492A" w:rsidRPr="00797EA7">
        <w:rPr>
          <w:lang w:val="cs-CZ"/>
        </w:rPr>
        <w:t>51)</w:t>
      </w:r>
      <w:r w:rsidRPr="00797EA7">
        <w:rPr>
          <w:lang w:val="cs-CZ"/>
        </w:rPr>
        <w:t xml:space="preserve">. V </w:t>
      </w:r>
      <w:r w:rsidR="006B10EF" w:rsidRPr="00797EA7">
        <w:rPr>
          <w:lang w:val="cs-CZ"/>
        </w:rPr>
        <w:t xml:space="preserve">této otázce </w:t>
      </w:r>
      <w:r w:rsidRPr="00797EA7">
        <w:rPr>
          <w:lang w:val="cs-CZ"/>
        </w:rPr>
        <w:t>bylo hodnoceno 8 dovedností</w:t>
      </w:r>
      <w:r w:rsidR="0054360B" w:rsidRPr="00797EA7">
        <w:rPr>
          <w:rStyle w:val="Znakapoznpodarou"/>
          <w:lang w:val="cs-CZ"/>
        </w:rPr>
        <w:footnoteReference w:id="5"/>
      </w:r>
      <w:r w:rsidR="0054360B" w:rsidRPr="00797EA7">
        <w:rPr>
          <w:lang w:val="cs-CZ"/>
        </w:rPr>
        <w:t xml:space="preserve"> . </w:t>
      </w:r>
      <w:r w:rsidRPr="00797EA7">
        <w:rPr>
          <w:lang w:val="cs-CZ"/>
        </w:rPr>
        <w:t xml:space="preserve">Při rozdělení podle zemí nejsou výsledky tak jednoznačné (tabulka </w:t>
      </w:r>
      <w:r w:rsidR="00B42F3C" w:rsidRPr="00797EA7">
        <w:rPr>
          <w:lang w:val="cs-CZ"/>
        </w:rPr>
        <w:t>3</w:t>
      </w:r>
      <w:r w:rsidRPr="00797EA7">
        <w:rPr>
          <w:lang w:val="cs-CZ"/>
        </w:rPr>
        <w:t>). V Belgii dosáhl nejvyššího průměrného skóre údaj "</w:t>
      </w:r>
      <w:r w:rsidR="00BB6B9B" w:rsidRPr="00797EA7">
        <w:rPr>
          <w:lang w:val="cs-CZ"/>
        </w:rPr>
        <w:t>kreativita" (</w:t>
      </w:r>
      <w:r w:rsidRPr="00797EA7">
        <w:rPr>
          <w:lang w:val="cs-CZ"/>
        </w:rPr>
        <w:t>3,</w:t>
      </w:r>
      <w:r w:rsidR="00BB6B9B" w:rsidRPr="00797EA7">
        <w:rPr>
          <w:lang w:val="cs-CZ"/>
        </w:rPr>
        <w:t>89)</w:t>
      </w:r>
      <w:r w:rsidRPr="00797EA7">
        <w:rPr>
          <w:lang w:val="cs-CZ"/>
        </w:rPr>
        <w:t>. V Česku to byly: "</w:t>
      </w:r>
      <w:r w:rsidR="00BB6B9B" w:rsidRPr="00797EA7">
        <w:rPr>
          <w:lang w:val="cs-CZ"/>
        </w:rPr>
        <w:t xml:space="preserve">schopnost přizpůsobit se budoucím výzvám" (3,05) </w:t>
      </w:r>
      <w:r w:rsidRPr="00797EA7">
        <w:rPr>
          <w:lang w:val="cs-CZ"/>
        </w:rPr>
        <w:t>a "</w:t>
      </w:r>
      <w:r w:rsidR="00BB6B9B" w:rsidRPr="00797EA7">
        <w:rPr>
          <w:lang w:val="cs-CZ"/>
        </w:rPr>
        <w:t>vědomí odolnosti</w:t>
      </w:r>
      <w:r w:rsidRPr="00797EA7">
        <w:rPr>
          <w:lang w:val="cs-CZ"/>
        </w:rPr>
        <w:t>" (</w:t>
      </w:r>
      <w:r w:rsidR="00BB6B9B" w:rsidRPr="00797EA7">
        <w:rPr>
          <w:lang w:val="cs-CZ"/>
        </w:rPr>
        <w:t>3</w:t>
      </w:r>
      <w:r w:rsidRPr="00797EA7">
        <w:rPr>
          <w:lang w:val="cs-CZ"/>
        </w:rPr>
        <w:t>,</w:t>
      </w:r>
      <w:r w:rsidR="00BB6B9B" w:rsidRPr="00797EA7">
        <w:rPr>
          <w:lang w:val="cs-CZ"/>
        </w:rPr>
        <w:t>0)</w:t>
      </w:r>
      <w:r w:rsidRPr="00797EA7">
        <w:rPr>
          <w:lang w:val="cs-CZ"/>
        </w:rPr>
        <w:t>. V Řecku byla nejvyšší průměrná hodnota 3,</w:t>
      </w:r>
      <w:r w:rsidR="00303FF1" w:rsidRPr="00797EA7">
        <w:rPr>
          <w:lang w:val="cs-CZ"/>
        </w:rPr>
        <w:t xml:space="preserve">8 u ukazatele </w:t>
      </w:r>
      <w:r w:rsidRPr="00797EA7">
        <w:rPr>
          <w:lang w:val="cs-CZ"/>
        </w:rPr>
        <w:t>"</w:t>
      </w:r>
      <w:r w:rsidR="00303FF1" w:rsidRPr="00797EA7">
        <w:rPr>
          <w:lang w:val="cs-CZ"/>
        </w:rPr>
        <w:t>kreativita"</w:t>
      </w:r>
      <w:r w:rsidRPr="00797EA7">
        <w:rPr>
          <w:lang w:val="cs-CZ"/>
        </w:rPr>
        <w:t xml:space="preserve">. V Polsku to bylo </w:t>
      </w:r>
      <w:r w:rsidR="002013CD" w:rsidRPr="00797EA7">
        <w:rPr>
          <w:lang w:val="cs-CZ"/>
        </w:rPr>
        <w:t>"povědomí o odolnosti" (</w:t>
      </w:r>
      <w:r w:rsidRPr="00797EA7">
        <w:rPr>
          <w:lang w:val="cs-CZ"/>
        </w:rPr>
        <w:t>3,</w:t>
      </w:r>
      <w:r w:rsidR="002013CD" w:rsidRPr="00797EA7">
        <w:rPr>
          <w:lang w:val="cs-CZ"/>
        </w:rPr>
        <w:t>86</w:t>
      </w:r>
      <w:r w:rsidRPr="00797EA7">
        <w:rPr>
          <w:lang w:val="cs-CZ"/>
        </w:rPr>
        <w:t xml:space="preserve">) </w:t>
      </w:r>
      <w:r w:rsidR="002013CD" w:rsidRPr="00797EA7">
        <w:rPr>
          <w:lang w:val="cs-CZ"/>
        </w:rPr>
        <w:t>a "schopnost přizpůsobit se budoucím výzvám" (3,8)</w:t>
      </w:r>
      <w:r w:rsidR="008C00C2" w:rsidRPr="00797EA7">
        <w:rPr>
          <w:lang w:val="cs-CZ"/>
        </w:rPr>
        <w:t>.</w:t>
      </w:r>
    </w:p>
    <w:p w:rsidR="00B04D89" w:rsidRPr="00797EA7" w:rsidRDefault="00A46B5A">
      <w:pPr>
        <w:jc w:val="both"/>
        <w:rPr>
          <w:i/>
          <w:iCs/>
          <w:lang w:val="cs-CZ"/>
        </w:rPr>
      </w:pPr>
      <w:bookmarkStart w:id="18" w:name="_Toc107410702"/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i/>
          <w:i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i/>
          <w:iCs/>
          <w:lang w:val="cs-CZ"/>
        </w:rPr>
        <w:fldChar w:fldCharType="separate"/>
      </w:r>
      <w:r w:rsidR="00B42F3C" w:rsidRPr="00797EA7">
        <w:rPr>
          <w:b/>
          <w:bCs/>
          <w:noProof/>
          <w:lang w:val="cs-CZ"/>
        </w:rPr>
        <w:t>3</w:t>
      </w:r>
      <w:r w:rsidRPr="00797EA7">
        <w:rPr>
          <w:b/>
          <w:bCs/>
          <w:i/>
          <w:iCs/>
          <w:lang w:val="cs-CZ"/>
        </w:rPr>
        <w:fldChar w:fldCharType="end"/>
      </w:r>
      <w:r w:rsidRPr="00797EA7">
        <w:rPr>
          <w:b/>
          <w:bCs/>
          <w:lang w:val="cs-CZ"/>
        </w:rPr>
        <w:t>.</w:t>
      </w:r>
      <w:r w:rsidRPr="00797EA7">
        <w:rPr>
          <w:lang w:val="cs-CZ"/>
        </w:rPr>
        <w:t xml:space="preserve"> Funkční oblasti podniků související s potřebným rozšířením "zelených dovedností</w:t>
      </w:r>
      <w:bookmarkEnd w:id="18"/>
    </w:p>
    <w:tbl>
      <w:tblPr>
        <w:tblStyle w:val="Mkatabulky"/>
        <w:tblW w:w="8934" w:type="dxa"/>
        <w:tblLayout w:type="fixed"/>
        <w:tblLook w:val="04A0" w:firstRow="1" w:lastRow="0" w:firstColumn="1" w:lastColumn="0" w:noHBand="0" w:noVBand="1"/>
      </w:tblPr>
      <w:tblGrid>
        <w:gridCol w:w="993"/>
        <w:gridCol w:w="1004"/>
        <w:gridCol w:w="991"/>
        <w:gridCol w:w="1123"/>
        <w:gridCol w:w="992"/>
        <w:gridCol w:w="851"/>
        <w:gridCol w:w="850"/>
        <w:gridCol w:w="1138"/>
        <w:gridCol w:w="992"/>
      </w:tblGrid>
      <w:tr w:rsidR="00F266CE" w:rsidRPr="00797EA7" w:rsidTr="00A46B5A"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266CE" w:rsidRPr="00797EA7" w:rsidRDefault="00F266CE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inženýrské a technické dovednosti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vědecká gramotnost</w:t>
            </w: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provozní řízení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monitorování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designové myšlení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kreativita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schopnost přizpůsobit se budoucím výzvám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povědomí o odolnosti</w:t>
            </w:r>
          </w:p>
        </w:tc>
      </w:tr>
      <w:tr w:rsidR="00C40C45" w:rsidRPr="00797EA7" w:rsidTr="00A46B5A"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2.53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2.71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3.89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3.63</w:t>
            </w:r>
          </w:p>
        </w:tc>
      </w:tr>
      <w:tr w:rsidR="00C40C45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3.0</w:t>
            </w:r>
          </w:p>
        </w:tc>
      </w:tr>
      <w:tr w:rsidR="00C40C45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2.65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3.55</w:t>
            </w:r>
          </w:p>
        </w:tc>
      </w:tr>
      <w:tr w:rsidR="00C40C45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3.86</w:t>
            </w:r>
          </w:p>
        </w:tc>
      </w:tr>
      <w:tr w:rsidR="00F266CE" w:rsidRPr="00797EA7" w:rsidTr="00A46B5A"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Průměr</w:t>
            </w:r>
          </w:p>
          <w:p w:rsidR="00B04D89" w:rsidRPr="00797EA7" w:rsidRDefault="00A46B5A">
            <w:pPr>
              <w:ind w:left="0" w:firstLine="0"/>
              <w:jc w:val="right"/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Std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dev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2.</w:t>
            </w:r>
            <w:r w:rsidR="00C40C45"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05</w:t>
            </w:r>
          </w:p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sz w:val="20"/>
                <w:szCs w:val="20"/>
                <w:lang w:val="cs-CZ"/>
              </w:rPr>
              <w:t>1.12</w:t>
            </w:r>
            <w:r w:rsidRPr="00797EA7">
              <w:rPr>
                <w:rFonts w:cstheme="minorHAnsi"/>
                <w:sz w:val="20"/>
                <w:szCs w:val="20"/>
                <w:lang w:val="cs-CZ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2.</w:t>
            </w:r>
            <w:r w:rsidR="00C40C45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22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C40C45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 w:rsidR="00C40C45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18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</w:t>
            </w:r>
            <w:r w:rsidR="00F266CE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44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C40C4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="00C40C4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15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 xml:space="preserve">2.35 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(1.</w:t>
            </w:r>
            <w:r w:rsidR="00C40C4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10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</w:t>
            </w:r>
            <w:r w:rsidR="00F266CE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97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(1.</w:t>
            </w:r>
            <w:r w:rsidR="00C40C4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23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</w:t>
            </w:r>
            <w:r w:rsidR="00C40C45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41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(1.25)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</w:t>
            </w:r>
            <w:r w:rsidR="00C40C45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51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C40C4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1.16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</w:t>
            </w:r>
            <w:r w:rsidR="00C40C45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49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C40C4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="00C40C4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28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V () - směrodatná odchylka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rStyle w:val="normaltextrun"/>
          <w:lang w:val="cs-CZ"/>
        </w:rPr>
      </w:pPr>
      <w:r w:rsidRPr="00797EA7">
        <w:rPr>
          <w:lang w:val="cs-CZ"/>
        </w:rPr>
        <w:t xml:space="preserve">Když </w:t>
      </w:r>
      <w:r w:rsidRPr="00797EA7">
        <w:rPr>
          <w:rStyle w:val="normaltextrun"/>
          <w:rFonts w:ascii="Calibri" w:hAnsi="Calibri" w:cs="Calibri"/>
          <w:lang w:val="cs-CZ"/>
        </w:rPr>
        <w:t xml:space="preserve">byli zástupci SEE dotázáni, </w:t>
      </w:r>
      <w:r w:rsidR="002D2149" w:rsidRPr="00797EA7">
        <w:rPr>
          <w:rStyle w:val="normaltextrun"/>
          <w:rFonts w:ascii="Calibri" w:hAnsi="Calibri" w:cs="Calibri"/>
          <w:lang w:val="cs-CZ"/>
        </w:rPr>
        <w:t>nakolik by pro jejich organizaci bylo přínosné přijmout zaměstnance se zavedenými ekologickými dovednostmi</w:t>
      </w:r>
      <w:r w:rsidRPr="00797EA7">
        <w:rPr>
          <w:rStyle w:val="normaltextrun"/>
          <w:rFonts w:ascii="Calibri" w:hAnsi="Calibri" w:cs="Calibri"/>
          <w:lang w:val="cs-CZ"/>
        </w:rPr>
        <w:t xml:space="preserve">, </w:t>
      </w:r>
      <w:r w:rsidRPr="00797EA7">
        <w:rPr>
          <w:lang w:val="cs-CZ"/>
        </w:rPr>
        <w:t>většina z nich označila jako hodnocení "</w:t>
      </w:r>
      <w:r w:rsidR="002D2149" w:rsidRPr="00797EA7">
        <w:rPr>
          <w:i/>
          <w:iCs/>
          <w:lang w:val="cs-CZ"/>
        </w:rPr>
        <w:t>5</w:t>
      </w:r>
      <w:r w:rsidRPr="00797EA7">
        <w:rPr>
          <w:lang w:val="cs-CZ"/>
        </w:rPr>
        <w:t xml:space="preserve">" </w:t>
      </w:r>
      <w:r w:rsidR="002D2149" w:rsidRPr="00797EA7">
        <w:rPr>
          <w:lang w:val="cs-CZ"/>
        </w:rPr>
        <w:t>(</w:t>
      </w:r>
      <w:r w:rsidR="00646A4F" w:rsidRPr="00797EA7">
        <w:rPr>
          <w:lang w:val="cs-CZ"/>
        </w:rPr>
        <w:t>stupeň</w:t>
      </w:r>
      <w:r w:rsidR="002D2149" w:rsidRPr="00797EA7">
        <w:rPr>
          <w:lang w:val="cs-CZ"/>
        </w:rPr>
        <w:t xml:space="preserve">). </w:t>
      </w:r>
      <w:r w:rsidRPr="00797EA7">
        <w:rPr>
          <w:lang w:val="cs-CZ"/>
        </w:rPr>
        <w:t>Vzhledem ke stupnici, kde 1 znamenala "</w:t>
      </w:r>
      <w:r w:rsidRPr="00797EA7">
        <w:rPr>
          <w:i/>
          <w:iCs/>
          <w:lang w:val="cs-CZ"/>
        </w:rPr>
        <w:t xml:space="preserve">v žádném případě" </w:t>
      </w:r>
      <w:r w:rsidRPr="00797EA7">
        <w:rPr>
          <w:lang w:val="cs-CZ"/>
        </w:rPr>
        <w:t>a 5 znamenalo "</w:t>
      </w:r>
      <w:r w:rsidRPr="00797EA7">
        <w:rPr>
          <w:i/>
          <w:iCs/>
          <w:lang w:val="cs-CZ"/>
        </w:rPr>
        <w:t xml:space="preserve">plně", </w:t>
      </w:r>
      <w:r w:rsidRPr="00797EA7">
        <w:rPr>
          <w:lang w:val="cs-CZ"/>
        </w:rPr>
        <w:t xml:space="preserve">bylo možné spočítat základní statistické údaje: střední hodnotu a směrodatnou odchylku. U </w:t>
      </w:r>
      <w:r w:rsidR="006B10EF" w:rsidRPr="00797EA7">
        <w:rPr>
          <w:lang w:val="cs-CZ"/>
        </w:rPr>
        <w:t xml:space="preserve">této otázky </w:t>
      </w:r>
      <w:r w:rsidRPr="00797EA7">
        <w:rPr>
          <w:lang w:val="cs-CZ"/>
        </w:rPr>
        <w:t>činil průměr 3,</w:t>
      </w:r>
      <w:r w:rsidR="002D2149" w:rsidRPr="00797EA7">
        <w:rPr>
          <w:lang w:val="cs-CZ"/>
        </w:rPr>
        <w:t xml:space="preserve">86, </w:t>
      </w:r>
      <w:r w:rsidRPr="00797EA7">
        <w:rPr>
          <w:lang w:val="cs-CZ"/>
        </w:rPr>
        <w:t>což by se dalo interpretovat tak, že se blíží tvrzení "</w:t>
      </w:r>
      <w:r w:rsidRPr="00797EA7">
        <w:rPr>
          <w:i/>
          <w:iCs/>
          <w:lang w:val="cs-CZ"/>
        </w:rPr>
        <w:t>v plném rozsahu</w:t>
      </w:r>
      <w:r w:rsidRPr="00797EA7">
        <w:rPr>
          <w:lang w:val="cs-CZ"/>
        </w:rPr>
        <w:t>". Směrodatná odchylka činila 1,</w:t>
      </w:r>
      <w:r w:rsidR="002D2149" w:rsidRPr="00797EA7">
        <w:rPr>
          <w:lang w:val="cs-CZ"/>
        </w:rPr>
        <w:t xml:space="preserve">05, </w:t>
      </w:r>
      <w:r w:rsidRPr="00797EA7">
        <w:rPr>
          <w:lang w:val="cs-CZ"/>
        </w:rPr>
        <w:t xml:space="preserve">což může znamenat velkou odchylku až o jeden stupeň v plusu nebo mínusu. Podle zemí byl nejvyšší průměr zaznamenán v </w:t>
      </w:r>
      <w:r w:rsidR="002D2149" w:rsidRPr="00797EA7">
        <w:rPr>
          <w:lang w:val="cs-CZ"/>
        </w:rPr>
        <w:t>Polsku (4</w:t>
      </w:r>
      <w:r w:rsidRPr="00797EA7">
        <w:rPr>
          <w:lang w:val="cs-CZ"/>
        </w:rPr>
        <w:t>,</w:t>
      </w:r>
      <w:r w:rsidR="002D2149" w:rsidRPr="00797EA7">
        <w:rPr>
          <w:lang w:val="cs-CZ"/>
        </w:rPr>
        <w:t xml:space="preserve">23) </w:t>
      </w:r>
      <w:r w:rsidRPr="00797EA7">
        <w:rPr>
          <w:lang w:val="cs-CZ"/>
        </w:rPr>
        <w:t>a nejnižší v Česku (</w:t>
      </w:r>
      <w:r w:rsidR="002D2149" w:rsidRPr="00797EA7">
        <w:rPr>
          <w:lang w:val="cs-CZ"/>
        </w:rPr>
        <w:t>3</w:t>
      </w:r>
      <w:r w:rsidRPr="00797EA7">
        <w:rPr>
          <w:lang w:val="cs-CZ"/>
        </w:rPr>
        <w:t>,5).</w:t>
      </w:r>
    </w:p>
    <w:p w:rsidR="00B04D89" w:rsidRPr="00797EA7" w:rsidRDefault="00A46B5A">
      <w:pPr>
        <w:jc w:val="both"/>
        <w:rPr>
          <w:lang w:val="cs-CZ"/>
        </w:rPr>
      </w:pPr>
      <w:r w:rsidRPr="00797EA7">
        <w:rPr>
          <w:lang w:val="cs-CZ"/>
        </w:rPr>
        <w:t xml:space="preserve">Když </w:t>
      </w:r>
      <w:r w:rsidRPr="00797EA7">
        <w:rPr>
          <w:rStyle w:val="normaltextrun"/>
          <w:rFonts w:ascii="Calibri" w:hAnsi="Calibri" w:cs="Calibri"/>
          <w:lang w:val="cs-CZ"/>
        </w:rPr>
        <w:t xml:space="preserve">byli zástupci SEE dotázáni, do jaké míry jsou schopni zdůvodnit nákladovou efektivnost environmentálních řešení z ekonomického, sociálního a ekologického hlediska, </w:t>
      </w:r>
      <w:r w:rsidRPr="00797EA7">
        <w:rPr>
          <w:lang w:val="cs-CZ"/>
        </w:rPr>
        <w:t xml:space="preserve">většina z nich </w:t>
      </w:r>
      <w:r w:rsidRPr="00797EA7">
        <w:rPr>
          <w:lang w:val="cs-CZ"/>
        </w:rPr>
        <w:lastRenderedPageBreak/>
        <w:t>uvedla jako hodnocení</w:t>
      </w:r>
      <w:r w:rsidR="00B2129B" w:rsidRPr="00797EA7">
        <w:rPr>
          <w:lang w:val="cs-CZ"/>
        </w:rPr>
        <w:t>: "3" pro ekonomické, "4" pro sociální a "5" pro ekologické</w:t>
      </w:r>
      <w:r w:rsidRPr="00797EA7">
        <w:rPr>
          <w:lang w:val="cs-CZ"/>
        </w:rPr>
        <w:t>. Vzhledem ke stupnici, kde 1 znamenala "</w:t>
      </w:r>
      <w:r w:rsidRPr="00797EA7">
        <w:rPr>
          <w:i/>
          <w:iCs/>
          <w:lang w:val="cs-CZ"/>
        </w:rPr>
        <w:t xml:space="preserve">vůbec" </w:t>
      </w:r>
      <w:r w:rsidRPr="00797EA7">
        <w:rPr>
          <w:lang w:val="cs-CZ"/>
        </w:rPr>
        <w:t>a 5 "</w:t>
      </w:r>
      <w:r w:rsidRPr="00797EA7">
        <w:rPr>
          <w:i/>
          <w:iCs/>
          <w:lang w:val="cs-CZ"/>
        </w:rPr>
        <w:t xml:space="preserve">plně", </w:t>
      </w:r>
      <w:r w:rsidRPr="00797EA7">
        <w:rPr>
          <w:lang w:val="cs-CZ"/>
        </w:rPr>
        <w:t xml:space="preserve">bylo možné spočítat základní statistické údaje: průměrnou hodnotu a směrodatnou odchylku. U této otázky činily </w:t>
      </w:r>
      <w:r w:rsidR="00B2129B" w:rsidRPr="00797EA7">
        <w:rPr>
          <w:lang w:val="cs-CZ"/>
        </w:rPr>
        <w:t xml:space="preserve">průměry: </w:t>
      </w:r>
      <w:r w:rsidRPr="00797EA7">
        <w:rPr>
          <w:lang w:val="cs-CZ"/>
        </w:rPr>
        <w:t>3,</w:t>
      </w:r>
      <w:r w:rsidR="00B2129B" w:rsidRPr="00797EA7">
        <w:rPr>
          <w:lang w:val="cs-CZ"/>
        </w:rPr>
        <w:t xml:space="preserve">14 pro ekonomické, 3,61 pro sociální a 3,7 pro ekologické. Všechny tyto prostředky </w:t>
      </w:r>
      <w:r w:rsidRPr="00797EA7">
        <w:rPr>
          <w:lang w:val="cs-CZ"/>
        </w:rPr>
        <w:t>lze interpretovat tak, že se blíží tvrzení "</w:t>
      </w:r>
      <w:r w:rsidRPr="00797EA7">
        <w:rPr>
          <w:i/>
          <w:iCs/>
          <w:lang w:val="cs-CZ"/>
        </w:rPr>
        <w:t>v plném rozsahu</w:t>
      </w:r>
      <w:r w:rsidRPr="00797EA7">
        <w:rPr>
          <w:lang w:val="cs-CZ"/>
        </w:rPr>
        <w:t xml:space="preserve">". Podle zemí byl nejvyšší průměr </w:t>
      </w:r>
      <w:r w:rsidR="003100A7" w:rsidRPr="00797EA7">
        <w:rPr>
          <w:lang w:val="cs-CZ"/>
        </w:rPr>
        <w:t xml:space="preserve">pro "ekonomický" aspekt </w:t>
      </w:r>
      <w:r w:rsidRPr="00797EA7">
        <w:rPr>
          <w:lang w:val="cs-CZ"/>
        </w:rPr>
        <w:t xml:space="preserve">zaznamenán v </w:t>
      </w:r>
      <w:r w:rsidR="003100A7" w:rsidRPr="00797EA7">
        <w:rPr>
          <w:lang w:val="cs-CZ"/>
        </w:rPr>
        <w:t>Polsku (</w:t>
      </w:r>
      <w:r w:rsidRPr="00797EA7">
        <w:rPr>
          <w:lang w:val="cs-CZ"/>
        </w:rPr>
        <w:t>3,</w:t>
      </w:r>
      <w:r w:rsidR="003100A7" w:rsidRPr="00797EA7">
        <w:rPr>
          <w:lang w:val="cs-CZ"/>
        </w:rPr>
        <w:t xml:space="preserve">81) </w:t>
      </w:r>
      <w:r w:rsidRPr="00797EA7">
        <w:rPr>
          <w:lang w:val="cs-CZ"/>
        </w:rPr>
        <w:t>a nejnižší v Česku (2,45)</w:t>
      </w:r>
      <w:r w:rsidR="003100A7" w:rsidRPr="00797EA7">
        <w:rPr>
          <w:lang w:val="cs-CZ"/>
        </w:rPr>
        <w:t xml:space="preserve">. Nejvyšší průměr pro "sociální" aspekt byl zaznamenán v Polsku (4,24) a nejnižší v Belgii (3,1). Nejvyšší průměr pro "ekologický" aspekt byl zaznamenán v Polsku (4,19) a nejnižší v Česku (3,1) </w:t>
      </w:r>
      <w:r w:rsidR="009B6D60" w:rsidRPr="00797EA7">
        <w:rPr>
          <w:lang w:val="cs-CZ"/>
        </w:rPr>
        <w:t>(</w:t>
      </w:r>
      <w:r w:rsidR="00FD208D" w:rsidRPr="00797EA7">
        <w:rPr>
          <w:lang w:val="cs-CZ"/>
        </w:rPr>
        <w:t xml:space="preserve">tabulka </w:t>
      </w:r>
      <w:r w:rsidR="007919F3" w:rsidRPr="00797EA7">
        <w:rPr>
          <w:lang w:val="cs-CZ"/>
        </w:rPr>
        <w:t>4)</w:t>
      </w:r>
      <w:r w:rsidRPr="00797EA7">
        <w:rPr>
          <w:lang w:val="cs-CZ"/>
        </w:rPr>
        <w:t>.</w:t>
      </w:r>
    </w:p>
    <w:p w:rsidR="009B6D60" w:rsidRPr="00797EA7" w:rsidRDefault="009B6D60" w:rsidP="009B6D60">
      <w:pPr>
        <w:jc w:val="both"/>
        <w:rPr>
          <w:rStyle w:val="normaltextrun"/>
          <w:lang w:val="cs-CZ"/>
        </w:rPr>
      </w:pP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19" w:name="_Toc107410703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7919F3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4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Funkční oblasti podniků související s potřebným rozšířením "zelených dovedností</w:t>
      </w:r>
      <w:bookmarkEnd w:id="19"/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835"/>
      </w:tblGrid>
      <w:tr w:rsidR="003E4D57" w:rsidRPr="00797EA7" w:rsidTr="003E4D57"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E4D57" w:rsidRPr="00797EA7" w:rsidRDefault="003E4D57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ekonomické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sociální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ekologické</w:t>
            </w:r>
          </w:p>
        </w:tc>
      </w:tr>
      <w:tr w:rsidR="00EB1B94" w:rsidRPr="00797EA7" w:rsidTr="00A46B5A"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2.88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3.40</w:t>
            </w:r>
          </w:p>
        </w:tc>
      </w:tr>
      <w:tr w:rsidR="00EB1B94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2.45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3.10</w:t>
            </w:r>
          </w:p>
        </w:tc>
      </w:tr>
      <w:tr w:rsidR="00EB1B94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3.95</w:t>
            </w:r>
          </w:p>
        </w:tc>
      </w:tr>
      <w:tr w:rsidR="00EB1B94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3.81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4.24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4.19</w:t>
            </w:r>
          </w:p>
        </w:tc>
      </w:tr>
      <w:tr w:rsidR="003E4D57" w:rsidRPr="00797EA7" w:rsidTr="003E4D57"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Průměr</w:t>
            </w:r>
          </w:p>
          <w:p w:rsidR="00B04D89" w:rsidRPr="00797EA7" w:rsidRDefault="00A46B5A">
            <w:pPr>
              <w:ind w:left="0" w:firstLine="0"/>
              <w:jc w:val="right"/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Std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dev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3</w:t>
            </w:r>
            <w:r w:rsidR="003E4D57"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14</w:t>
            </w:r>
          </w:p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sz w:val="20"/>
                <w:szCs w:val="20"/>
                <w:lang w:val="cs-CZ"/>
              </w:rPr>
              <w:t>1.</w:t>
            </w:r>
            <w:r w:rsidR="00EB1B94" w:rsidRPr="00797EA7">
              <w:rPr>
                <w:rFonts w:cstheme="minorHAnsi"/>
                <w:i/>
                <w:iCs/>
                <w:sz w:val="20"/>
                <w:szCs w:val="20"/>
                <w:lang w:val="cs-CZ"/>
              </w:rPr>
              <w:t>13</w:t>
            </w:r>
            <w:r w:rsidRPr="00797EA7">
              <w:rPr>
                <w:rFonts w:cstheme="minorHAnsi"/>
                <w:sz w:val="20"/>
                <w:szCs w:val="20"/>
                <w:lang w:val="cs-CZ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  <w:r w:rsidR="003E4D57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61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1.</w:t>
            </w:r>
            <w:r w:rsidR="00EB1B94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21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  <w:r w:rsidR="003E4D57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71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1.</w:t>
            </w:r>
            <w:r w:rsidR="00EB1B94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26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V () - směrodatná odchylka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jc w:val="both"/>
        <w:rPr>
          <w:lang w:val="cs-CZ"/>
        </w:rPr>
      </w:pPr>
      <w:r w:rsidRPr="00797EA7">
        <w:rPr>
          <w:lang w:val="cs-CZ"/>
        </w:rPr>
        <w:t xml:space="preserve">Zástupci SEE byli dotázáni na situaci, kdy jejich organizace nikdy nerealizovala dobrý (environmentálně a ekonomicky odůvodněný) projekt z různých důvodů </w:t>
      </w:r>
      <w:r w:rsidR="00743924" w:rsidRPr="00797EA7">
        <w:rPr>
          <w:lang w:val="cs-CZ"/>
        </w:rPr>
        <w:t xml:space="preserve">(tabulka </w:t>
      </w:r>
      <w:r w:rsidR="00156A87" w:rsidRPr="00797EA7">
        <w:rPr>
          <w:lang w:val="cs-CZ"/>
        </w:rPr>
        <w:t>5</w:t>
      </w:r>
      <w:r w:rsidR="00743924" w:rsidRPr="00797EA7">
        <w:rPr>
          <w:lang w:val="cs-CZ"/>
        </w:rPr>
        <w:t>)</w:t>
      </w:r>
      <w:r w:rsidRPr="00797EA7">
        <w:rPr>
          <w:lang w:val="cs-CZ"/>
        </w:rPr>
        <w:t>.</w:t>
      </w:r>
    </w:p>
    <w:p w:rsidR="009B6D60" w:rsidRPr="00797EA7" w:rsidRDefault="009B6D60" w:rsidP="005575AA">
      <w:pPr>
        <w:ind w:left="-44"/>
        <w:rPr>
          <w:lang w:val="cs-CZ"/>
        </w:rPr>
      </w:pPr>
      <w:bookmarkStart w:id="20" w:name="_Toc107410704"/>
    </w:p>
    <w:p w:rsidR="00B04D89" w:rsidRPr="00797EA7" w:rsidRDefault="00A46B5A">
      <w:pPr>
        <w:ind w:left="-44"/>
        <w:rPr>
          <w:lang w:val="cs-CZ"/>
        </w:rPr>
      </w:pPr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i/>
          <w:i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i/>
          <w:iCs/>
          <w:lang w:val="cs-CZ"/>
        </w:rPr>
        <w:fldChar w:fldCharType="separate"/>
      </w:r>
      <w:r w:rsidR="00156A87" w:rsidRPr="00797EA7">
        <w:rPr>
          <w:b/>
          <w:bCs/>
          <w:noProof/>
          <w:lang w:val="cs-CZ"/>
        </w:rPr>
        <w:t>5</w:t>
      </w:r>
      <w:r w:rsidRPr="00797EA7">
        <w:rPr>
          <w:b/>
          <w:bCs/>
          <w:i/>
          <w:iCs/>
          <w:lang w:val="cs-CZ"/>
        </w:rPr>
        <w:fldChar w:fldCharType="end"/>
      </w:r>
      <w:r w:rsidRPr="00797EA7">
        <w:rPr>
          <w:b/>
          <w:bCs/>
          <w:lang w:val="cs-CZ"/>
        </w:rPr>
        <w:t xml:space="preserve">. </w:t>
      </w:r>
      <w:r w:rsidRPr="00797EA7">
        <w:rPr>
          <w:lang w:val="cs-CZ"/>
        </w:rPr>
        <w:t xml:space="preserve">Rozhodnutí </w:t>
      </w:r>
      <w:r w:rsidR="00215CB7" w:rsidRPr="00797EA7">
        <w:rPr>
          <w:lang w:val="cs-CZ"/>
        </w:rPr>
        <w:t xml:space="preserve">o </w:t>
      </w:r>
      <w:r w:rsidRPr="00797EA7">
        <w:rPr>
          <w:lang w:val="cs-CZ"/>
        </w:rPr>
        <w:t xml:space="preserve">realizaci dobrého projektu z důvodů </w:t>
      </w:r>
      <w:bookmarkEnd w:id="20"/>
    </w:p>
    <w:tbl>
      <w:tblPr>
        <w:tblStyle w:val="Mkatabulky"/>
        <w:tblW w:w="9360" w:type="dxa"/>
        <w:tblLayout w:type="fixed"/>
        <w:tblLook w:val="04A0" w:firstRow="1" w:lastRow="0" w:firstColumn="1" w:lastColumn="0" w:noHBand="0" w:noVBand="1"/>
      </w:tblPr>
      <w:tblGrid>
        <w:gridCol w:w="5387"/>
        <w:gridCol w:w="993"/>
        <w:gridCol w:w="993"/>
        <w:gridCol w:w="993"/>
        <w:gridCol w:w="994"/>
      </w:tblGrid>
      <w:tr w:rsidR="00F0461C" w:rsidRPr="00797EA7" w:rsidTr="00F0461C">
        <w:tc>
          <w:tcPr>
            <w:tcW w:w="538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0461C" w:rsidRPr="00797EA7" w:rsidRDefault="00F0461C" w:rsidP="00A77D48">
            <w:pPr>
              <w:pStyle w:val="Titulek"/>
              <w:spacing w:after="0"/>
              <w:ind w:left="0" w:firstLine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hanging="10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Počet pozorování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hanging="10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Procento</w:t>
            </w:r>
          </w:p>
        </w:tc>
      </w:tr>
      <w:tr w:rsidR="00A77D48" w:rsidRPr="00797EA7" w:rsidTr="00F0461C">
        <w:tc>
          <w:tcPr>
            <w:tcW w:w="5387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A77D48" w:rsidRPr="00797EA7" w:rsidRDefault="00A77D48" w:rsidP="00A77D48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Ne</w:t>
            </w:r>
          </w:p>
        </w:tc>
      </w:tr>
      <w:tr w:rsidR="00A77D48" w:rsidRPr="00797EA7" w:rsidTr="00F0461C"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nedostatečné ekonomické znalosti členů organizace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color w:val="000000"/>
                <w:lang w:val="cs-CZ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color w:val="000000"/>
                <w:lang w:val="cs-CZ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29</w:t>
            </w:r>
            <w:r w:rsidR="00A77D48" w:rsidRPr="00797EA7">
              <w:rPr>
                <w:lang w:val="cs-CZ"/>
              </w:rPr>
              <w:t>.</w:t>
            </w:r>
            <w:r w:rsidRPr="00797EA7">
              <w:rPr>
                <w:lang w:val="cs-CZ"/>
              </w:rPr>
              <w:t>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61.4</w:t>
            </w:r>
          </w:p>
        </w:tc>
      </w:tr>
      <w:tr w:rsidR="00A77D48" w:rsidRPr="00797EA7" w:rsidTr="00F046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nedostatečné znalosti o životním prostředí mezi členy organizace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6D1BD0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6D1BD0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color w:val="000000"/>
                <w:lang w:val="cs-CZ"/>
              </w:rPr>
              <w:t>28.4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63.0</w:t>
            </w:r>
          </w:p>
        </w:tc>
      </w:tr>
      <w:tr w:rsidR="00A77D48" w:rsidRPr="00797EA7" w:rsidTr="00F046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nedostatek organizačních schopností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77D48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6D1BD0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72</w:t>
            </w:r>
          </w:p>
        </w:tc>
      </w:tr>
      <w:tr w:rsidR="00A77D48" w:rsidRPr="00797EA7" w:rsidTr="00F046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nedostatečné přesvědčovací schopnosti členů organizace.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color w:val="000000"/>
                <w:lang w:val="cs-CZ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color w:val="000000"/>
                <w:lang w:val="cs-CZ"/>
              </w:rPr>
            </w:pPr>
            <w:r w:rsidRPr="00797EA7">
              <w:rPr>
                <w:lang w:val="cs-CZ"/>
              </w:rPr>
              <w:t>19</w:t>
            </w:r>
            <w:r w:rsidR="006D1BD0" w:rsidRPr="00797EA7">
              <w:rPr>
                <w:lang w:val="cs-CZ"/>
              </w:rPr>
              <w:t>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69.1</w:t>
            </w:r>
          </w:p>
        </w:tc>
      </w:tr>
      <w:tr w:rsidR="00A77D48" w:rsidRPr="00797EA7" w:rsidTr="00F046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nedostatek vztahových (kooperačních) dovedností členů organizace.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19.7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69.1</w:t>
            </w:r>
          </w:p>
        </w:tc>
      </w:tr>
      <w:tr w:rsidR="00A77D48" w:rsidRPr="00797EA7" w:rsidTr="00F046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institucionální omezení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41.9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44.4</w:t>
            </w:r>
          </w:p>
        </w:tc>
      </w:tr>
      <w:tr w:rsidR="00A77D48" w:rsidRPr="00797EA7" w:rsidTr="00F046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byrokracie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54.3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lang w:val="cs-CZ"/>
              </w:rPr>
            </w:pPr>
            <w:r w:rsidRPr="00797EA7">
              <w:rPr>
                <w:lang w:val="cs-CZ"/>
              </w:rPr>
              <w:t>32.0</w:t>
            </w:r>
          </w:p>
        </w:tc>
      </w:tr>
      <w:tr w:rsidR="006D1BD0" w:rsidRPr="00797EA7" w:rsidTr="00A46B5A">
        <w:tc>
          <w:tcPr>
            <w:tcW w:w="538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rPr>
                <w:i w:val="0"/>
                <w:iCs w:val="0"/>
                <w:color w:val="000000" w:themeColor="text1"/>
                <w:lang w:val="cs-CZ"/>
              </w:rPr>
            </w:pPr>
            <w:r w:rsidRPr="00797EA7">
              <w:rPr>
                <w:i w:val="0"/>
                <w:iCs w:val="0"/>
                <w:color w:val="000000" w:themeColor="text1"/>
                <w:lang w:val="cs-CZ"/>
              </w:rPr>
              <w:t>nedostatek vhodných právních rámců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lang w:val="cs-CZ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lang w:val="cs-CZ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lang w:val="cs-CZ"/>
              </w:rPr>
              <w:t>39.5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ind w:left="0" w:firstLine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lang w:val="cs-CZ"/>
              </w:rPr>
              <w:t>44.4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ind w:left="-45"/>
        <w:jc w:val="both"/>
        <w:rPr>
          <w:lang w:val="cs-CZ"/>
        </w:rPr>
      </w:pPr>
      <w:r w:rsidRPr="00797EA7">
        <w:rPr>
          <w:lang w:val="cs-CZ"/>
        </w:rPr>
        <w:t xml:space="preserve">Zástupci SEE </w:t>
      </w:r>
      <w:r w:rsidR="004B3FDC" w:rsidRPr="00797EA7">
        <w:rPr>
          <w:lang w:val="cs-CZ"/>
        </w:rPr>
        <w:t xml:space="preserve">většinou uvádějí, že nedostatek znalostí (ekonomických, environmentálních) nebo dovedností (organizačních, přesvědčovacích nebo kooperačních) nebyl hlavním důvodem pro odmítnutí rozhodnutí o realizaci projektu. </w:t>
      </w:r>
      <w:r w:rsidRPr="00797EA7">
        <w:rPr>
          <w:lang w:val="cs-CZ"/>
        </w:rPr>
        <w:t xml:space="preserve">Co je třeba zdůraznit, </w:t>
      </w:r>
      <w:r w:rsidR="000D681A" w:rsidRPr="00797EA7">
        <w:rPr>
          <w:lang w:val="cs-CZ"/>
        </w:rPr>
        <w:t xml:space="preserve">nedostatek </w:t>
      </w:r>
      <w:r w:rsidR="004B3FDC" w:rsidRPr="00797EA7">
        <w:rPr>
          <w:lang w:val="cs-CZ"/>
        </w:rPr>
        <w:t xml:space="preserve">těchto měkkých dovedností na </w:t>
      </w:r>
      <w:r w:rsidR="000D681A" w:rsidRPr="00797EA7">
        <w:rPr>
          <w:lang w:val="cs-CZ"/>
        </w:rPr>
        <w:t xml:space="preserve">nejnižší úrovni byl příčinou zamítnutí projektu ve srovnání s nedostatkem znalostí, který byl spíše důvodem k rozhodnutí o zamítnutí projektu. Nejdůležitějším důvodem, který způsobuje rozhodnutí o </w:t>
      </w:r>
      <w:proofErr w:type="spellStart"/>
      <w:r w:rsidR="000D681A" w:rsidRPr="00797EA7">
        <w:rPr>
          <w:lang w:val="cs-CZ"/>
        </w:rPr>
        <w:t>nerealizaci</w:t>
      </w:r>
      <w:proofErr w:type="spellEnd"/>
      <w:r w:rsidR="000D681A" w:rsidRPr="00797EA7">
        <w:rPr>
          <w:lang w:val="cs-CZ"/>
        </w:rPr>
        <w:t xml:space="preserve"> projektu, byla "byrokracie" (tzv. "byrokracie"). </w:t>
      </w:r>
      <w:r w:rsidR="00205D25" w:rsidRPr="00797EA7">
        <w:rPr>
          <w:lang w:val="cs-CZ"/>
        </w:rPr>
        <w:t xml:space="preserve">V </w:t>
      </w:r>
      <w:r w:rsidR="004D280B" w:rsidRPr="00797EA7">
        <w:rPr>
          <w:lang w:val="cs-CZ"/>
        </w:rPr>
        <w:t xml:space="preserve">54,3 % odpovědí </w:t>
      </w:r>
      <w:r w:rsidR="00205D25" w:rsidRPr="00797EA7">
        <w:rPr>
          <w:lang w:val="cs-CZ"/>
        </w:rPr>
        <w:t xml:space="preserve">bylo </w:t>
      </w:r>
      <w:r w:rsidR="004D280B" w:rsidRPr="00797EA7">
        <w:rPr>
          <w:lang w:val="cs-CZ"/>
        </w:rPr>
        <w:t xml:space="preserve">uvedeno, že se jedná o důvod opuštění projektu. </w:t>
      </w:r>
      <w:r w:rsidR="00205D25" w:rsidRPr="00797EA7">
        <w:rPr>
          <w:lang w:val="cs-CZ"/>
        </w:rPr>
        <w:t xml:space="preserve">Druhým důvodem této situace byla "institucionální omezení" (41,9 % odpovědí "ano"). </w:t>
      </w:r>
      <w:r w:rsidR="006A0FB0" w:rsidRPr="00797EA7">
        <w:rPr>
          <w:lang w:val="cs-CZ"/>
        </w:rPr>
        <w:t>Třetím důvodem byl "nedostatek vhodných právních rámců" (39,5 %). Souhrnně lze říci, že v SEE rozhodovaly o odmítnutí projektu častěji vnější faktory než faktory vnitřní</w:t>
      </w:r>
      <w:r w:rsidR="0015133D" w:rsidRPr="00797EA7">
        <w:rPr>
          <w:lang w:val="cs-CZ"/>
        </w:rPr>
        <w:t>.</w:t>
      </w:r>
    </w:p>
    <w:p w:rsidR="00B04D89" w:rsidRPr="00797EA7" w:rsidRDefault="0040091A">
      <w:pPr>
        <w:spacing w:after="120"/>
        <w:ind w:left="-45"/>
        <w:jc w:val="both"/>
        <w:rPr>
          <w:lang w:val="cs-CZ"/>
        </w:rPr>
      </w:pPr>
      <w:r w:rsidRPr="00797EA7">
        <w:rPr>
          <w:lang w:val="cs-CZ"/>
        </w:rPr>
        <w:t xml:space="preserve">Celkem </w:t>
      </w:r>
      <w:r w:rsidR="00A46B5A" w:rsidRPr="00797EA7">
        <w:rPr>
          <w:lang w:val="cs-CZ"/>
        </w:rPr>
        <w:t xml:space="preserve">60 z 81 zástupců SEE uvedlo, že nejsou schopni generovat příjmy prostřednictvím svých aktivit v oblasti zelené ekonomiky. Zbytek (21 SEE) deklaroval jejich různou výši. Průměr těchto </w:t>
      </w:r>
      <w:r w:rsidR="00A46B5A" w:rsidRPr="00797EA7">
        <w:rPr>
          <w:lang w:val="cs-CZ"/>
        </w:rPr>
        <w:lastRenderedPageBreak/>
        <w:t>údajů není vhodný pro výpočet</w:t>
      </w:r>
      <w:r w:rsidR="004E65F8" w:rsidRPr="00797EA7">
        <w:rPr>
          <w:lang w:val="cs-CZ"/>
        </w:rPr>
        <w:t>,</w:t>
      </w:r>
      <w:r w:rsidR="00A46B5A" w:rsidRPr="00797EA7">
        <w:rPr>
          <w:lang w:val="cs-CZ"/>
        </w:rPr>
        <w:t xml:space="preserve"> s výjimkou Polska, </w:t>
      </w:r>
      <w:r w:rsidR="004E65F8" w:rsidRPr="00797EA7">
        <w:rPr>
          <w:lang w:val="cs-CZ"/>
        </w:rPr>
        <w:t>kde činil u dotazovaných SEE 147 tis. PLN (přibližně 31 tis. EUR).</w:t>
      </w:r>
    </w:p>
    <w:p w:rsidR="00B04D89" w:rsidRPr="00797EA7" w:rsidRDefault="0040091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lang w:val="cs-CZ"/>
        </w:rPr>
      </w:pPr>
      <w:r w:rsidRPr="00797EA7">
        <w:rPr>
          <w:rStyle w:val="normaltextrun"/>
          <w:rFonts w:ascii="Calibri" w:hAnsi="Calibri" w:cs="Calibri"/>
          <w:lang w:val="cs-CZ"/>
        </w:rPr>
        <w:t xml:space="preserve">Celkem </w:t>
      </w:r>
      <w:r w:rsidR="00A46B5A" w:rsidRPr="00797EA7">
        <w:rPr>
          <w:rStyle w:val="normaltextrun"/>
          <w:rFonts w:ascii="Calibri" w:hAnsi="Calibri" w:cs="Calibri"/>
          <w:lang w:val="cs-CZ"/>
        </w:rPr>
        <w:t xml:space="preserve">46 respondentů uvedlo, že </w:t>
      </w:r>
      <w:r w:rsidR="00215CB7" w:rsidRPr="00797EA7">
        <w:rPr>
          <w:rStyle w:val="normaltextrun"/>
          <w:rFonts w:ascii="Calibri" w:hAnsi="Calibri" w:cs="Calibri"/>
          <w:lang w:val="cs-CZ"/>
        </w:rPr>
        <w:t xml:space="preserve">nevnímá </w:t>
      </w:r>
      <w:r w:rsidR="00A46B5A" w:rsidRPr="00797EA7">
        <w:rPr>
          <w:rStyle w:val="normaltextrun"/>
          <w:rFonts w:ascii="Calibri" w:hAnsi="Calibri" w:cs="Calibri"/>
          <w:lang w:val="cs-CZ"/>
        </w:rPr>
        <w:t xml:space="preserve">nedostatky v zelených dovednostech učňů nebo absolventů vysokých škol. Zbytek z nich si všiml, že stážisté </w:t>
      </w:r>
      <w:r w:rsidR="00215CB7" w:rsidRPr="00797EA7">
        <w:rPr>
          <w:rStyle w:val="normaltextrun"/>
          <w:rFonts w:ascii="Calibri" w:hAnsi="Calibri" w:cs="Calibri"/>
          <w:lang w:val="cs-CZ"/>
        </w:rPr>
        <w:t xml:space="preserve">mají </w:t>
      </w:r>
      <w:r w:rsidR="001272C3" w:rsidRPr="00797EA7">
        <w:rPr>
          <w:rStyle w:val="normaltextrun"/>
          <w:rFonts w:ascii="Calibri" w:hAnsi="Calibri" w:cs="Calibri"/>
          <w:lang w:val="cs-CZ"/>
        </w:rPr>
        <w:t xml:space="preserve">především teoretické zázemí </w:t>
      </w:r>
      <w:r w:rsidR="00241694" w:rsidRPr="00797EA7">
        <w:rPr>
          <w:rStyle w:val="normaltextrun"/>
          <w:rFonts w:ascii="Calibri" w:hAnsi="Calibri" w:cs="Calibri"/>
          <w:lang w:val="cs-CZ"/>
        </w:rPr>
        <w:t>nebo nedostatek potřebných znalostí (zejména v širších souvislostech), nedostatek dovedností nebo povědomí.</w:t>
      </w:r>
    </w:p>
    <w:p w:rsidR="00B04D89" w:rsidRPr="00797EA7" w:rsidRDefault="00A46B5A">
      <w:pPr>
        <w:pStyle w:val="paragraph"/>
        <w:spacing w:before="0" w:beforeAutospacing="0" w:after="120" w:afterAutospacing="0"/>
        <w:ind w:left="567" w:right="845"/>
        <w:jc w:val="both"/>
        <w:textAlignment w:val="baseline"/>
        <w:rPr>
          <w:rStyle w:val="normaltextrun"/>
          <w:rFonts w:ascii="Calibri" w:hAnsi="Calibri" w:cs="Calibri"/>
          <w:i/>
          <w:iCs/>
          <w:color w:val="009900"/>
          <w:sz w:val="22"/>
          <w:szCs w:val="22"/>
          <w:lang w:val="cs-CZ"/>
        </w:rPr>
      </w:pPr>
      <w:r w:rsidRPr="00797EA7">
        <w:rPr>
          <w:rStyle w:val="normaltextrun"/>
          <w:rFonts w:ascii="Calibri" w:hAnsi="Calibri" w:cs="Calibri"/>
          <w:i/>
          <w:iCs/>
          <w:color w:val="009900"/>
          <w:sz w:val="22"/>
          <w:szCs w:val="22"/>
          <w:lang w:val="cs-CZ"/>
        </w:rPr>
        <w:t>Nedostatky v komunikaci, které jsou důsledkem toho, že se žáci/studenti bojí klást otázky, být zvídaví, spoluvytvářet něco společně s radostí a smyslem pro poslání. Špatné zapojení a smysl pro to, co je na univerzitě povinností a co radostí.</w:t>
      </w:r>
    </w:p>
    <w:p w:rsidR="00B04D89" w:rsidRPr="00797EA7" w:rsidRDefault="00A46B5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highlight w:val="yellow"/>
          <w:lang w:val="cs-CZ"/>
        </w:rPr>
      </w:pPr>
      <w:r w:rsidRPr="00797EA7">
        <w:rPr>
          <w:rStyle w:val="normaltextrun"/>
          <w:rFonts w:ascii="Calibri" w:hAnsi="Calibri" w:cs="Calibri"/>
          <w:lang w:val="cs-CZ"/>
        </w:rPr>
        <w:t xml:space="preserve">Někteří z oslovených zástupců SEE si všimli, že i když stážisté přemýšlejí o zelených aspektech, nedokáží se chovat udržitelně. Zdůrazňují neschopnost </w:t>
      </w:r>
      <w:r w:rsidR="00187523" w:rsidRPr="00797EA7">
        <w:rPr>
          <w:rStyle w:val="normaltextrun"/>
          <w:rFonts w:ascii="Calibri" w:hAnsi="Calibri" w:cs="Calibri"/>
          <w:lang w:val="cs-CZ"/>
        </w:rPr>
        <w:t xml:space="preserve">změnit myšlenku v praxi, někdy kvůli nedostatku malých místních iniciativ v komunitě. </w:t>
      </w:r>
    </w:p>
    <w:p w:rsidR="00B04D89" w:rsidRPr="00797EA7" w:rsidRDefault="00A46B5A">
      <w:pPr>
        <w:pStyle w:val="paragraph"/>
        <w:spacing w:before="0" w:beforeAutospacing="0" w:after="120" w:afterAutospacing="0"/>
        <w:ind w:left="567" w:right="845"/>
        <w:jc w:val="both"/>
        <w:textAlignment w:val="baseline"/>
        <w:rPr>
          <w:rStyle w:val="normaltextrun"/>
          <w:rFonts w:ascii="Calibri" w:hAnsi="Calibri" w:cs="Calibri"/>
          <w:i/>
          <w:iCs/>
          <w:color w:val="009900"/>
          <w:sz w:val="22"/>
          <w:szCs w:val="22"/>
          <w:lang w:val="cs-CZ"/>
        </w:rPr>
      </w:pPr>
      <w:r w:rsidRPr="00797EA7">
        <w:rPr>
          <w:rStyle w:val="normaltextrun"/>
          <w:rFonts w:ascii="Calibri" w:hAnsi="Calibri" w:cs="Calibri"/>
          <w:i/>
          <w:iCs/>
          <w:color w:val="009900"/>
          <w:sz w:val="22"/>
          <w:szCs w:val="22"/>
          <w:lang w:val="cs-CZ"/>
        </w:rPr>
        <w:t>Oblast zelené ekonomiky je poměrně moderní, s různými teoretickými přístupy a mnoha různými sociálními intervencemi, na které se lze zaměřit. Také socioekonomický systém a jeho propojení s různými odvětvími výroby a spotřeby má vysokou míru složitosti. Tyto faktory mohou vést k mezerám ve znalostech o některých tématech, ale také k dobrým hlubokým znalostem o jiných.</w:t>
      </w:r>
    </w:p>
    <w:p w:rsidR="00466B7C" w:rsidRPr="00797EA7" w:rsidRDefault="00466B7C" w:rsidP="00037BCD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color w:val="538135" w:themeColor="accent6" w:themeShade="BF"/>
          <w:lang w:val="cs-CZ"/>
        </w:rPr>
      </w:pPr>
    </w:p>
    <w:p w:rsidR="00B04D89" w:rsidRPr="00797EA7" w:rsidRDefault="00A46B5A">
      <w:pPr>
        <w:pStyle w:val="paragraph"/>
        <w:numPr>
          <w:ilvl w:val="1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  <w:t>Zelené dovednosti vysokoškolských učitelů</w:t>
      </w:r>
    </w:p>
    <w:p w:rsidR="00E27135" w:rsidRPr="00797EA7" w:rsidRDefault="00E27135" w:rsidP="00037BCD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</w:pPr>
    </w:p>
    <w:p w:rsidR="00B04D89" w:rsidRPr="00797EA7" w:rsidRDefault="00865CF9">
      <w:pPr>
        <w:pStyle w:val="paragraph"/>
        <w:spacing w:before="0" w:beforeAutospacing="0" w:after="120" w:afterAutospacing="0"/>
        <w:jc w:val="both"/>
        <w:textAlignment w:val="baseline"/>
        <w:rPr>
          <w:lang w:val="cs-CZ"/>
        </w:rPr>
      </w:pPr>
      <w:r w:rsidRPr="00797EA7">
        <w:rPr>
          <w:rStyle w:val="normaltextrun"/>
          <w:rFonts w:ascii="Calibri" w:hAnsi="Calibri" w:cs="Calibri"/>
          <w:lang w:val="cs-CZ"/>
        </w:rPr>
        <w:t xml:space="preserve">V </w:t>
      </w:r>
      <w:r w:rsidR="00A46B5A" w:rsidRPr="00797EA7">
        <w:rPr>
          <w:rStyle w:val="normaltextrun"/>
          <w:rFonts w:ascii="Calibri" w:hAnsi="Calibri" w:cs="Calibri"/>
          <w:lang w:val="cs-CZ"/>
        </w:rPr>
        <w:t xml:space="preserve">rámci výzkumu </w:t>
      </w:r>
      <w:r w:rsidR="00CB3915" w:rsidRPr="00797EA7">
        <w:rPr>
          <w:rStyle w:val="normaltextrun"/>
          <w:rFonts w:ascii="Calibri" w:hAnsi="Calibri" w:cs="Calibri"/>
          <w:lang w:val="cs-CZ"/>
        </w:rPr>
        <w:t xml:space="preserve">33 respondentů ze skupiny vysokoškolských učitelů </w:t>
      </w:r>
      <w:r w:rsidR="00005945" w:rsidRPr="00797EA7">
        <w:rPr>
          <w:rStyle w:val="normaltextrun"/>
          <w:rFonts w:ascii="Calibri" w:hAnsi="Calibri" w:cs="Calibri"/>
          <w:lang w:val="cs-CZ"/>
        </w:rPr>
        <w:t xml:space="preserve">(dále jen </w:t>
      </w:r>
      <w:r w:rsidR="00005945" w:rsidRPr="00797EA7">
        <w:rPr>
          <w:rStyle w:val="normaltextrun"/>
          <w:rFonts w:asciiTheme="minorHAnsi" w:hAnsiTheme="minorHAnsi" w:cstheme="minorHAnsi"/>
          <w:lang w:val="cs-CZ"/>
        </w:rPr>
        <w:t xml:space="preserve">učitelů), kteří </w:t>
      </w:r>
      <w:r w:rsidR="00CB3915" w:rsidRPr="00797EA7">
        <w:rPr>
          <w:rStyle w:val="normaltextrun"/>
          <w:rFonts w:asciiTheme="minorHAnsi" w:hAnsiTheme="minorHAnsi" w:cstheme="minorHAnsi"/>
          <w:lang w:val="cs-CZ"/>
        </w:rPr>
        <w:t xml:space="preserve">se </w:t>
      </w:r>
      <w:r w:rsidRPr="00797EA7">
        <w:rPr>
          <w:rStyle w:val="normaltextrun"/>
          <w:rFonts w:asciiTheme="minorHAnsi" w:hAnsiTheme="minorHAnsi" w:cstheme="minorHAnsi"/>
          <w:lang w:val="cs-CZ"/>
        </w:rPr>
        <w:t xml:space="preserve">zúčastnili dotazníkového šetření, </w:t>
      </w:r>
      <w:r w:rsidR="00EF1374" w:rsidRPr="00797EA7">
        <w:rPr>
          <w:rFonts w:asciiTheme="minorHAnsi" w:hAnsiTheme="minorHAnsi" w:cstheme="minorHAnsi"/>
          <w:lang w:val="cs-CZ"/>
        </w:rPr>
        <w:t>převažovali muži (17 oproti 16 ženám). Průměrný věk všech respondentů byl 44</w:t>
      </w:r>
      <w:r w:rsidR="00646C18" w:rsidRPr="00797EA7">
        <w:rPr>
          <w:rFonts w:asciiTheme="minorHAnsi" w:hAnsiTheme="minorHAnsi" w:cstheme="minorHAnsi"/>
          <w:lang w:val="cs-CZ"/>
        </w:rPr>
        <w:t>,</w:t>
      </w:r>
      <w:r w:rsidR="00EF1374" w:rsidRPr="00797EA7">
        <w:rPr>
          <w:rFonts w:asciiTheme="minorHAnsi" w:hAnsiTheme="minorHAnsi" w:cstheme="minorHAnsi"/>
          <w:lang w:val="cs-CZ"/>
        </w:rPr>
        <w:t>8 let a průměrný počet let výkonu povolání 16</w:t>
      </w:r>
      <w:r w:rsidR="00646C18" w:rsidRPr="00797EA7">
        <w:rPr>
          <w:rFonts w:asciiTheme="minorHAnsi" w:hAnsiTheme="minorHAnsi" w:cstheme="minorHAnsi"/>
          <w:lang w:val="cs-CZ"/>
        </w:rPr>
        <w:t>,</w:t>
      </w:r>
      <w:r w:rsidR="00EF1374" w:rsidRPr="00797EA7">
        <w:rPr>
          <w:rFonts w:asciiTheme="minorHAnsi" w:hAnsiTheme="minorHAnsi" w:cstheme="minorHAnsi"/>
          <w:lang w:val="cs-CZ"/>
        </w:rPr>
        <w:t>7 let</w:t>
      </w:r>
      <w:r w:rsidR="00A13A66" w:rsidRPr="00797EA7">
        <w:rPr>
          <w:rFonts w:asciiTheme="minorHAnsi" w:hAnsiTheme="minorHAnsi" w:cstheme="minorHAnsi"/>
          <w:lang w:val="cs-CZ"/>
        </w:rPr>
        <w:t xml:space="preserve">. </w:t>
      </w:r>
      <w:r w:rsidR="00A93332" w:rsidRPr="00797EA7">
        <w:rPr>
          <w:rFonts w:asciiTheme="minorHAnsi" w:hAnsiTheme="minorHAnsi" w:cstheme="minorHAnsi"/>
          <w:lang w:val="cs-CZ"/>
        </w:rPr>
        <w:t xml:space="preserve">Přesně </w:t>
      </w:r>
      <w:r w:rsidR="00A13A66" w:rsidRPr="00797EA7">
        <w:rPr>
          <w:rFonts w:asciiTheme="minorHAnsi" w:hAnsiTheme="minorHAnsi" w:cstheme="minorHAnsi"/>
          <w:lang w:val="cs-CZ"/>
        </w:rPr>
        <w:t>1/3 učitelů má zkušenosti s dobrovolnickou činností (podle zemí, nejvíce z České republiky).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>Téměř polovina respondentů (48</w:t>
      </w:r>
      <w:r w:rsidR="00BC2714" w:rsidRPr="00797EA7">
        <w:rPr>
          <w:lang w:val="cs-CZ"/>
        </w:rPr>
        <w:t>,</w:t>
      </w:r>
      <w:r w:rsidRPr="00797EA7">
        <w:rPr>
          <w:lang w:val="cs-CZ"/>
        </w:rPr>
        <w:t>5 %) se setkala s pojmem "zelené dovednosti". O něco méně (39</w:t>
      </w:r>
      <w:r w:rsidR="00BC2714" w:rsidRPr="00797EA7">
        <w:rPr>
          <w:lang w:val="cs-CZ"/>
        </w:rPr>
        <w:t>,</w:t>
      </w:r>
      <w:r w:rsidRPr="00797EA7">
        <w:rPr>
          <w:lang w:val="cs-CZ"/>
        </w:rPr>
        <w:t>4 %) o tomto termínu nikdy neslyšelo a 12</w:t>
      </w:r>
      <w:r w:rsidR="00BC2714" w:rsidRPr="00797EA7">
        <w:rPr>
          <w:lang w:val="cs-CZ"/>
        </w:rPr>
        <w:t>,</w:t>
      </w:r>
      <w:r w:rsidRPr="00797EA7">
        <w:rPr>
          <w:lang w:val="cs-CZ"/>
        </w:rPr>
        <w:t>1 % si nebylo jisto, zda jej zná.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>Většina respondentů chápala pojem "zelené dovednosti" jako "znalosti, schopnosti, hodnoty a postoje potřebné k rozvoji a podpoře společnosti, která snižuje dopad lidských činností na životní prostředí" (81</w:t>
      </w:r>
      <w:r w:rsidR="00BC2714" w:rsidRPr="00797EA7">
        <w:rPr>
          <w:lang w:val="cs-CZ"/>
        </w:rPr>
        <w:t>,</w:t>
      </w:r>
      <w:r w:rsidRPr="00797EA7">
        <w:rPr>
          <w:lang w:val="cs-CZ"/>
        </w:rPr>
        <w:t xml:space="preserve">1 %) (tabulka </w:t>
      </w:r>
      <w:r w:rsidR="002C634C" w:rsidRPr="00797EA7">
        <w:rPr>
          <w:lang w:val="cs-CZ"/>
        </w:rPr>
        <w:t>6</w:t>
      </w:r>
      <w:r w:rsidRPr="00797EA7">
        <w:rPr>
          <w:lang w:val="cs-CZ"/>
        </w:rPr>
        <w:t>). Třetina z nich chápe tento pojem také jako: "ekologické životní prostředí": "přechod k oběhovému hospodářství (hospodářství s uzavřeným cyklem)" a "boj proti změně klimatu". Devět respondentů (27</w:t>
      </w:r>
      <w:r w:rsidR="00BC2714" w:rsidRPr="00797EA7">
        <w:rPr>
          <w:lang w:val="cs-CZ"/>
        </w:rPr>
        <w:t>,</w:t>
      </w:r>
      <w:r w:rsidRPr="00797EA7">
        <w:rPr>
          <w:lang w:val="cs-CZ"/>
        </w:rPr>
        <w:t xml:space="preserve">2 %) jej identifikuje jako "přechod na nízkouhlíkové hospodářství". Nejméně z nich </w:t>
      </w:r>
      <w:r w:rsidR="008A3D25" w:rsidRPr="00797EA7">
        <w:rPr>
          <w:lang w:val="cs-CZ"/>
        </w:rPr>
        <w:t>(18</w:t>
      </w:r>
      <w:r w:rsidR="00BC2714" w:rsidRPr="00797EA7">
        <w:rPr>
          <w:lang w:val="cs-CZ"/>
        </w:rPr>
        <w:t>,</w:t>
      </w:r>
      <w:r w:rsidR="008A3D25" w:rsidRPr="00797EA7">
        <w:rPr>
          <w:lang w:val="cs-CZ"/>
        </w:rPr>
        <w:t xml:space="preserve">1 %) </w:t>
      </w:r>
      <w:r w:rsidRPr="00797EA7">
        <w:rPr>
          <w:lang w:val="cs-CZ"/>
        </w:rPr>
        <w:t>uvádí, že tento pojem souvisí s "novými hospodářskými odvětvími šetrnými k životnímu prostředí" a "zelenými výrobky/službami"</w:t>
      </w:r>
      <w:r w:rsidR="00361AE2" w:rsidRPr="00797EA7">
        <w:rPr>
          <w:lang w:val="cs-CZ"/>
        </w:rPr>
        <w:t>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21" w:name="_Toc107410707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br w:type="column"/>
      </w:r>
      <w:r w:rsidR="00907B78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lastRenderedPageBreak/>
        <w:t xml:space="preserve">Tabulka </w:t>
      </w:r>
      <w:r w:rsidR="00907B78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="00907B78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="00907B78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2C634C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6</w:t>
      </w:r>
      <w:r w:rsidR="00907B78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="00907B78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="00907B78" w:rsidRPr="00797EA7">
        <w:rPr>
          <w:i w:val="0"/>
          <w:iCs w:val="0"/>
          <w:color w:val="auto"/>
          <w:sz w:val="24"/>
          <w:szCs w:val="24"/>
          <w:lang w:val="cs-CZ"/>
        </w:rPr>
        <w:t xml:space="preserve"> Identifikace pojmu "zelené dovednosti</w:t>
      </w:r>
      <w:bookmarkEnd w:id="21"/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007"/>
        <w:gridCol w:w="1113"/>
        <w:gridCol w:w="1135"/>
        <w:gridCol w:w="884"/>
        <w:gridCol w:w="1531"/>
        <w:gridCol w:w="993"/>
        <w:gridCol w:w="2409"/>
      </w:tblGrid>
      <w:tr w:rsidR="008F59D7" w:rsidRPr="00797EA7" w:rsidTr="003B0D35">
        <w:tc>
          <w:tcPr>
            <w:tcW w:w="10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F18E2" w:rsidRPr="00797EA7" w:rsidRDefault="005F18E2" w:rsidP="005F18E2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nízkouhlíkové hospodářství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oběhové hospodářství (uzavřená ekonomika).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boj proti změně klimatu</w:t>
            </w:r>
          </w:p>
        </w:tc>
        <w:tc>
          <w:tcPr>
            <w:tcW w:w="153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nová hospodářská odvětví šetrná k životnímu prostředí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zelené produkty/služby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znalosti, schopnosti, hodnoty a postoje potřebné k rozvoji a podpoře společnosti, která snižuje dopad lidských činností na životní prostředí.</w:t>
            </w:r>
          </w:p>
        </w:tc>
      </w:tr>
      <w:tr w:rsidR="0052176B" w:rsidRPr="00797EA7" w:rsidTr="003B0D35"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</w:t>
            </w:r>
          </w:p>
        </w:tc>
      </w:tr>
      <w:tr w:rsidR="0052176B" w:rsidRPr="00797EA7" w:rsidTr="003B0D3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</w:t>
            </w:r>
          </w:p>
        </w:tc>
      </w:tr>
      <w:tr w:rsidR="0052176B" w:rsidRPr="00797EA7" w:rsidTr="003B0D3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9</w:t>
            </w:r>
          </w:p>
        </w:tc>
      </w:tr>
      <w:tr w:rsidR="0052176B" w:rsidRPr="00797EA7" w:rsidTr="003B0D3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</w:t>
            </w:r>
          </w:p>
        </w:tc>
      </w:tr>
      <w:tr w:rsidR="0052176B" w:rsidRPr="00797EA7" w:rsidTr="003B0D35"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27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>Většina učitelů se s pojmem "zelené dovednosti" setkala v odborných článcích (30</w:t>
      </w:r>
      <w:r w:rsidR="00D963CE" w:rsidRPr="00797EA7">
        <w:rPr>
          <w:lang w:val="cs-CZ"/>
        </w:rPr>
        <w:t>,</w:t>
      </w:r>
      <w:r w:rsidRPr="00797EA7">
        <w:rPr>
          <w:lang w:val="cs-CZ"/>
        </w:rPr>
        <w:t>3 %) a v sociálních médiích (27</w:t>
      </w:r>
      <w:r w:rsidR="00D963CE" w:rsidRPr="00797EA7">
        <w:rPr>
          <w:lang w:val="cs-CZ"/>
        </w:rPr>
        <w:t>,</w:t>
      </w:r>
      <w:r w:rsidRPr="00797EA7">
        <w:rPr>
          <w:lang w:val="cs-CZ"/>
        </w:rPr>
        <w:t xml:space="preserve">3 %) </w:t>
      </w:r>
      <w:r w:rsidR="008568E1" w:rsidRPr="00797EA7">
        <w:rPr>
          <w:lang w:val="cs-CZ"/>
        </w:rPr>
        <w:t xml:space="preserve">(tabulka </w:t>
      </w:r>
      <w:r w:rsidR="00CD5A0C" w:rsidRPr="00797EA7">
        <w:rPr>
          <w:lang w:val="cs-CZ"/>
        </w:rPr>
        <w:t>7</w:t>
      </w:r>
      <w:r w:rsidR="008568E1" w:rsidRPr="00797EA7">
        <w:rPr>
          <w:lang w:val="cs-CZ"/>
        </w:rPr>
        <w:t>)</w:t>
      </w:r>
      <w:r w:rsidRPr="00797EA7">
        <w:rPr>
          <w:lang w:val="cs-CZ"/>
        </w:rPr>
        <w:t xml:space="preserve">. </w:t>
      </w:r>
      <w:r w:rsidR="00D963CE" w:rsidRPr="00797EA7">
        <w:rPr>
          <w:lang w:val="cs-CZ"/>
        </w:rPr>
        <w:t>Akademické konference a tisk jako zdroj informací o termínu "zelené dovednosti" uvedlo 21,1 % z nich.</w:t>
      </w:r>
      <w:r w:rsidR="00F719FE" w:rsidRPr="00797EA7">
        <w:rPr>
          <w:lang w:val="cs-CZ"/>
        </w:rPr>
        <w:t xml:space="preserve"> Při využití možnosti uvést jiné místo respondenti zdůraznili, že se s tímto termínem nesetkali. To může znamenat, že tento termín není mezi dotázanými učiteli studijních oborů souvisejících se sociální ekonomií populární, což může být překvapivé. </w:t>
      </w:r>
      <w:r w:rsidR="00693F24" w:rsidRPr="00797EA7">
        <w:rPr>
          <w:lang w:val="cs-CZ"/>
        </w:rPr>
        <w:t xml:space="preserve">Pouze 4 respondenti se s tímto termínem seznámili prostřednictvím studijního programu. To představuje něco málo přes 12 %. Z hlediska skupiny respondentů se jedná o poměrně důležitou informaci, která naznačuje, že téma zelených dovedností není ve studijních plánech kurzů souvisejících se sociální ekonomií formálně řešeno.  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22" w:name="_Ref104552346"/>
      <w:bookmarkStart w:id="23" w:name="_Toc107410708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CD5A0C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7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Zdroje, ze kterých pochází pojem "zelené dovednosti</w:t>
      </w:r>
      <w:bookmarkEnd w:id="22"/>
      <w:bookmarkEnd w:id="23"/>
    </w:p>
    <w:tbl>
      <w:tblPr>
        <w:tblStyle w:val="Mkatabulky"/>
        <w:tblW w:w="9287" w:type="dxa"/>
        <w:tblLayout w:type="fixed"/>
        <w:tblLook w:val="04A0" w:firstRow="1" w:lastRow="0" w:firstColumn="1" w:lastColumn="0" w:noHBand="0" w:noVBand="1"/>
      </w:tblPr>
      <w:tblGrid>
        <w:gridCol w:w="1007"/>
        <w:gridCol w:w="1261"/>
        <w:gridCol w:w="1152"/>
        <w:gridCol w:w="1258"/>
        <w:gridCol w:w="1152"/>
        <w:gridCol w:w="1152"/>
        <w:gridCol w:w="1152"/>
        <w:gridCol w:w="1153"/>
      </w:tblGrid>
      <w:tr w:rsidR="008568E1" w:rsidRPr="00797EA7" w:rsidTr="00C95D54">
        <w:tc>
          <w:tcPr>
            <w:tcW w:w="10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8568E1" w:rsidRPr="00797EA7" w:rsidRDefault="008568E1" w:rsidP="008568E1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studijní program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vědecké práce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akademické konference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tisk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sociální média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televize</w:t>
            </w: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další</w:t>
            </w:r>
          </w:p>
        </w:tc>
      </w:tr>
      <w:tr w:rsidR="009678D7" w:rsidRPr="00797EA7" w:rsidTr="00C95D54"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3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</w:tr>
      <w:tr w:rsidR="009678D7" w:rsidRPr="00797EA7" w:rsidTr="00C95D5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9678D7" w:rsidRPr="00797EA7" w:rsidTr="00C95D5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</w:tr>
      <w:tr w:rsidR="009678D7" w:rsidRPr="00797EA7" w:rsidTr="00C95D5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</w:tr>
      <w:tr w:rsidR="009678D7" w:rsidRPr="00797EA7" w:rsidTr="00C95D54"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(.) - jev se nevyskytl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Během průzkumu byli respondenti rovněž dotazováni na znalost pojmu "oběhové hospodářství". Většina z nich </w:t>
      </w:r>
      <w:r w:rsidR="00865CF9" w:rsidRPr="00797EA7">
        <w:rPr>
          <w:lang w:val="cs-CZ"/>
        </w:rPr>
        <w:t xml:space="preserve">uvedla, že </w:t>
      </w:r>
      <w:r w:rsidRPr="00797EA7">
        <w:rPr>
          <w:lang w:val="cs-CZ"/>
        </w:rPr>
        <w:t>se jedná o "recyklaci a využití materiálů v procesech výroby, distribuce nebo spotřeby" (</w:t>
      </w:r>
      <w:r w:rsidR="0057604D" w:rsidRPr="00797EA7">
        <w:rPr>
          <w:lang w:val="cs-CZ"/>
        </w:rPr>
        <w:t>75,8 %</w:t>
      </w:r>
      <w:r w:rsidRPr="00797EA7">
        <w:rPr>
          <w:lang w:val="cs-CZ"/>
        </w:rPr>
        <w:t xml:space="preserve">) </w:t>
      </w:r>
      <w:r w:rsidR="0057604D" w:rsidRPr="00797EA7">
        <w:rPr>
          <w:lang w:val="cs-CZ"/>
        </w:rPr>
        <w:t xml:space="preserve">nebo "opětovné využití přírodních zdrojů" (45,5 %). </w:t>
      </w:r>
      <w:r w:rsidR="000A65A8" w:rsidRPr="00797EA7">
        <w:rPr>
          <w:lang w:val="cs-CZ"/>
        </w:rPr>
        <w:t xml:space="preserve">Možná překvapivě někteří respondenti uvedli jako chápání pojmu "oběhové hospodářství" ekonomickou autarkii. </w:t>
      </w:r>
      <w:r w:rsidR="00DD104E" w:rsidRPr="00797EA7">
        <w:rPr>
          <w:lang w:val="cs-CZ"/>
        </w:rPr>
        <w:t>Tento výsledek je překvapivý zejména z hlediska cílové skupiny (učitelé) a z hlediska popularity tohoto pojmu ve vědě i publicistice.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Když byli respondenti dotázáni, do jaké míry jsou ve studijních oborech na vaší univerzitě realizovány kurzy zaměřené na rozvoj ekologických dovedností, většina z nich uvedla </w:t>
      </w:r>
      <w:r w:rsidR="00850DCB" w:rsidRPr="00797EA7">
        <w:rPr>
          <w:lang w:val="cs-CZ"/>
        </w:rPr>
        <w:t>jako hodnocení "</w:t>
      </w:r>
      <w:r w:rsidR="00850DCB" w:rsidRPr="00797EA7">
        <w:rPr>
          <w:i/>
          <w:iCs/>
          <w:lang w:val="cs-CZ"/>
        </w:rPr>
        <w:t>3</w:t>
      </w:r>
      <w:r w:rsidR="00850DCB" w:rsidRPr="00797EA7">
        <w:rPr>
          <w:lang w:val="cs-CZ"/>
        </w:rPr>
        <w:t xml:space="preserve">". Vzhledem ke škále, kde 1 znamenala </w:t>
      </w:r>
      <w:r w:rsidR="004C5150" w:rsidRPr="00797EA7">
        <w:rPr>
          <w:lang w:val="cs-CZ"/>
        </w:rPr>
        <w:t>"</w:t>
      </w:r>
      <w:r w:rsidR="004C5150" w:rsidRPr="00797EA7">
        <w:rPr>
          <w:i/>
          <w:iCs/>
          <w:lang w:val="cs-CZ"/>
        </w:rPr>
        <w:t xml:space="preserve">v žádném případě" </w:t>
      </w:r>
      <w:r w:rsidR="004C5150" w:rsidRPr="00797EA7">
        <w:rPr>
          <w:lang w:val="cs-CZ"/>
        </w:rPr>
        <w:t>a 5 znamenalo "</w:t>
      </w:r>
      <w:r w:rsidR="004C5150" w:rsidRPr="00797EA7">
        <w:rPr>
          <w:i/>
          <w:iCs/>
          <w:lang w:val="cs-CZ"/>
        </w:rPr>
        <w:t xml:space="preserve">plně", </w:t>
      </w:r>
      <w:r w:rsidR="004C5150" w:rsidRPr="00797EA7">
        <w:rPr>
          <w:lang w:val="cs-CZ"/>
        </w:rPr>
        <w:t xml:space="preserve">bylo možné spočítat základní statistické údaje: průměrnou hodnotu a směrodatnou odchylku. U </w:t>
      </w:r>
      <w:r w:rsidR="004B75FA" w:rsidRPr="00797EA7">
        <w:rPr>
          <w:lang w:val="cs-CZ"/>
        </w:rPr>
        <w:t xml:space="preserve">této otázky </w:t>
      </w:r>
      <w:r w:rsidR="004C5150" w:rsidRPr="00797EA7">
        <w:rPr>
          <w:lang w:val="cs-CZ"/>
        </w:rPr>
        <w:t xml:space="preserve">činila průměrná hodnota </w:t>
      </w:r>
      <w:r w:rsidR="00775981" w:rsidRPr="00797EA7">
        <w:rPr>
          <w:lang w:val="cs-CZ"/>
        </w:rPr>
        <w:t xml:space="preserve">2,52, </w:t>
      </w:r>
      <w:r w:rsidR="004C5150" w:rsidRPr="00797EA7">
        <w:rPr>
          <w:lang w:val="cs-CZ"/>
        </w:rPr>
        <w:t>což lze interpretovat tak, že se blíží tvrzení "</w:t>
      </w:r>
      <w:r w:rsidR="004C5150" w:rsidRPr="00797EA7">
        <w:rPr>
          <w:i/>
          <w:iCs/>
          <w:lang w:val="cs-CZ"/>
        </w:rPr>
        <w:t>v žádném"</w:t>
      </w:r>
      <w:r w:rsidR="00020A47" w:rsidRPr="00797EA7">
        <w:rPr>
          <w:lang w:val="cs-CZ"/>
        </w:rPr>
        <w:t xml:space="preserve">. Směrodatná odchylka činila 1,06, což může znamenat velkou odchylku až o jeden </w:t>
      </w:r>
      <w:r w:rsidR="00020A47" w:rsidRPr="00797EA7">
        <w:rPr>
          <w:lang w:val="cs-CZ"/>
        </w:rPr>
        <w:lastRenderedPageBreak/>
        <w:t xml:space="preserve">stupeň v plusu nebo mínusu. </w:t>
      </w:r>
      <w:r w:rsidR="00CA7297" w:rsidRPr="00797EA7">
        <w:rPr>
          <w:lang w:val="cs-CZ"/>
        </w:rPr>
        <w:t>Podle zemí byl nejvyšší průměr zaznamenán v Belgii (3,22) a nejnižší v Česku (2,0).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V otevřené otázce učitelé uváděli převážně předměty s tématy </w:t>
      </w:r>
      <w:r w:rsidR="00701468" w:rsidRPr="00797EA7">
        <w:rPr>
          <w:lang w:val="cs-CZ"/>
        </w:rPr>
        <w:t>udržitelného řízení ("</w:t>
      </w:r>
      <w:r w:rsidR="00701468" w:rsidRPr="00797EA7">
        <w:rPr>
          <w:i/>
          <w:iCs/>
          <w:lang w:val="cs-CZ"/>
        </w:rPr>
        <w:t>Management udržitelnosti</w:t>
      </w:r>
      <w:r w:rsidR="00701468" w:rsidRPr="00797EA7">
        <w:rPr>
          <w:lang w:val="cs-CZ"/>
        </w:rPr>
        <w:t>", "</w:t>
      </w:r>
      <w:r w:rsidR="00701468" w:rsidRPr="00797EA7">
        <w:rPr>
          <w:i/>
          <w:iCs/>
          <w:lang w:val="cs-CZ"/>
        </w:rPr>
        <w:t>Udržitelná spotřeba a výroba</w:t>
      </w:r>
      <w:r w:rsidR="00701468" w:rsidRPr="00797EA7">
        <w:rPr>
          <w:lang w:val="cs-CZ"/>
        </w:rPr>
        <w:t>", "</w:t>
      </w:r>
      <w:r w:rsidR="00701468" w:rsidRPr="00797EA7">
        <w:rPr>
          <w:i/>
          <w:iCs/>
          <w:lang w:val="cs-CZ"/>
        </w:rPr>
        <w:t>Udržitelný vývoj výrobků</w:t>
      </w:r>
      <w:r w:rsidR="00701468" w:rsidRPr="00797EA7">
        <w:rPr>
          <w:lang w:val="cs-CZ"/>
        </w:rPr>
        <w:t>", "</w:t>
      </w:r>
      <w:r w:rsidR="00701468" w:rsidRPr="00797EA7">
        <w:rPr>
          <w:i/>
          <w:iCs/>
          <w:lang w:val="cs-CZ"/>
        </w:rPr>
        <w:t>Udržitelný design"</w:t>
      </w:r>
      <w:r w:rsidR="00701468" w:rsidRPr="00797EA7">
        <w:rPr>
          <w:lang w:val="cs-CZ"/>
        </w:rPr>
        <w:t xml:space="preserve">) nebo sociálního podnikání, </w:t>
      </w:r>
      <w:r w:rsidRPr="00797EA7">
        <w:rPr>
          <w:lang w:val="cs-CZ"/>
        </w:rPr>
        <w:t xml:space="preserve">v </w:t>
      </w:r>
      <w:r w:rsidR="008316C9" w:rsidRPr="00797EA7">
        <w:rPr>
          <w:lang w:val="cs-CZ"/>
        </w:rPr>
        <w:t>rámci,</w:t>
      </w:r>
      <w:r w:rsidRPr="00797EA7">
        <w:rPr>
          <w:lang w:val="cs-CZ"/>
        </w:rPr>
        <w:t xml:space="preserve"> kterých byly rozvíjeny zelené dovednosti </w:t>
      </w:r>
      <w:r w:rsidR="00701468" w:rsidRPr="00797EA7">
        <w:rPr>
          <w:lang w:val="cs-CZ"/>
        </w:rPr>
        <w:t>(všech indicií bylo 19, některé předměty se překrývaly).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Respondenti hodnotili vhodné studijní plány jako nejvyšší příležitost k získání </w:t>
      </w:r>
      <w:r w:rsidR="009C7C38" w:rsidRPr="00797EA7">
        <w:rPr>
          <w:lang w:val="cs-CZ"/>
        </w:rPr>
        <w:t>"</w:t>
      </w:r>
      <w:r w:rsidRPr="00797EA7">
        <w:rPr>
          <w:lang w:val="cs-CZ"/>
        </w:rPr>
        <w:t xml:space="preserve">zelených dovedností". </w:t>
      </w:r>
      <w:r w:rsidR="008D3076" w:rsidRPr="00797EA7">
        <w:rPr>
          <w:lang w:val="cs-CZ"/>
        </w:rPr>
        <w:t xml:space="preserve">Podle jednotlivých zemí převažuje ve většině zemí označení studijního plánu, i když v Polsku převažuje označení pracovní stáže (tabulka </w:t>
      </w:r>
      <w:r w:rsidR="00A30BB5" w:rsidRPr="00797EA7">
        <w:rPr>
          <w:lang w:val="cs-CZ"/>
        </w:rPr>
        <w:t>8</w:t>
      </w:r>
      <w:r w:rsidR="008D3076" w:rsidRPr="00797EA7">
        <w:rPr>
          <w:lang w:val="cs-CZ"/>
        </w:rPr>
        <w:t xml:space="preserve">).  </w:t>
      </w:r>
    </w:p>
    <w:p w:rsidR="00B04D89" w:rsidRPr="00797EA7" w:rsidRDefault="00A46B5A">
      <w:pPr>
        <w:jc w:val="both"/>
        <w:rPr>
          <w:lang w:val="cs-CZ"/>
        </w:rPr>
      </w:pPr>
      <w:bookmarkStart w:id="24" w:name="_Toc107410710"/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lang w:val="cs-CZ"/>
        </w:rPr>
        <w:fldChar w:fldCharType="separate"/>
      </w:r>
      <w:r w:rsidR="00A30BB5" w:rsidRPr="00797EA7">
        <w:rPr>
          <w:b/>
          <w:bCs/>
          <w:noProof/>
          <w:lang w:val="cs-CZ"/>
        </w:rPr>
        <w:t>8</w:t>
      </w:r>
      <w:r w:rsidRPr="00797EA7">
        <w:rPr>
          <w:b/>
          <w:bCs/>
          <w:lang w:val="cs-CZ"/>
        </w:rPr>
        <w:fldChar w:fldCharType="end"/>
      </w:r>
      <w:r w:rsidRPr="00797EA7">
        <w:rPr>
          <w:b/>
          <w:bCs/>
          <w:lang w:val="cs-CZ"/>
        </w:rPr>
        <w:t xml:space="preserve">. </w:t>
      </w:r>
      <w:r w:rsidRPr="00797EA7">
        <w:rPr>
          <w:lang w:val="cs-CZ"/>
        </w:rPr>
        <w:t>Příležitost k získání "zelených dovedností" na základě vybraných vzdělávacích prvků podle zemí</w:t>
      </w:r>
      <w:bookmarkEnd w:id="24"/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2598"/>
        <w:gridCol w:w="2599"/>
        <w:gridCol w:w="2599"/>
      </w:tblGrid>
      <w:tr w:rsidR="00CB33CA" w:rsidRPr="00797EA7" w:rsidTr="00CB33CA"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B33CA" w:rsidRPr="00797EA7" w:rsidRDefault="00CB33CA" w:rsidP="003E67AF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59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studijní plány</w:t>
            </w:r>
          </w:p>
        </w:tc>
        <w:tc>
          <w:tcPr>
            <w:tcW w:w="25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výsledky učení</w:t>
            </w:r>
          </w:p>
        </w:tc>
        <w:tc>
          <w:tcPr>
            <w:tcW w:w="25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stáže/umístění</w:t>
            </w:r>
          </w:p>
        </w:tc>
      </w:tr>
      <w:tr w:rsidR="00CB33CA" w:rsidRPr="00797EA7" w:rsidTr="00A46B5A"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3,78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3,78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3,56</w:t>
            </w:r>
          </w:p>
        </w:tc>
      </w:tr>
      <w:tr w:rsidR="00CB33CA" w:rsidRPr="00797EA7" w:rsidTr="00A46B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2,50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2,50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2,50</w:t>
            </w:r>
          </w:p>
        </w:tc>
      </w:tr>
      <w:tr w:rsidR="00CB33CA" w:rsidRPr="00797EA7" w:rsidTr="00A46B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3,90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3,70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3,50</w:t>
            </w:r>
          </w:p>
        </w:tc>
      </w:tr>
      <w:tr w:rsidR="00CB33CA" w:rsidRPr="00797EA7" w:rsidTr="00A46B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3,38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3,25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3,63</w:t>
            </w:r>
          </w:p>
        </w:tc>
      </w:tr>
      <w:tr w:rsidR="00CB33CA" w:rsidRPr="00797EA7" w:rsidTr="00CB33CA"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Průměr</w:t>
            </w:r>
          </w:p>
          <w:p w:rsidR="00B04D89" w:rsidRPr="00797EA7" w:rsidRDefault="00A46B5A">
            <w:pPr>
              <w:ind w:left="0" w:hanging="27"/>
              <w:jc w:val="right"/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Std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dev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>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 xml:space="preserve">3.48 </w:t>
            </w:r>
          </w:p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(</w:t>
            </w:r>
            <w:r w:rsidRPr="00797EA7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  <w:lang w:val="cs-CZ"/>
              </w:rPr>
              <w:t>1.2</w:t>
            </w: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3.39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(</w:t>
            </w:r>
            <w:r w:rsidRPr="00797EA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1.17</w:t>
            </w: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3.36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(</w:t>
            </w:r>
            <w:r w:rsidRPr="00797EA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1.08</w:t>
            </w: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)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V () - směrodatná odchylka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Při analýze míry osvojení zelených dovedností na místě stáže učitelé uvedli, že nejvyšší byla míra osvojení </w:t>
      </w:r>
      <w:r w:rsidR="00201F3B" w:rsidRPr="00797EA7">
        <w:rPr>
          <w:lang w:val="cs-CZ"/>
        </w:rPr>
        <w:t xml:space="preserve">"schopnosti přizpůsobit se budoucím výzvám" (průměr: 3,45). </w:t>
      </w:r>
      <w:r w:rsidR="004F108D" w:rsidRPr="00797EA7">
        <w:rPr>
          <w:lang w:val="cs-CZ"/>
        </w:rPr>
        <w:t xml:space="preserve">V </w:t>
      </w:r>
      <w:r w:rsidR="00BC257B" w:rsidRPr="00797EA7">
        <w:rPr>
          <w:lang w:val="cs-CZ"/>
        </w:rPr>
        <w:t xml:space="preserve">této </w:t>
      </w:r>
      <w:r w:rsidR="004B75FA" w:rsidRPr="00797EA7">
        <w:rPr>
          <w:lang w:val="cs-CZ"/>
        </w:rPr>
        <w:t xml:space="preserve">otázce </w:t>
      </w:r>
      <w:r w:rsidR="004F108D" w:rsidRPr="00797EA7">
        <w:rPr>
          <w:lang w:val="cs-CZ"/>
        </w:rPr>
        <w:t xml:space="preserve">8 </w:t>
      </w:r>
      <w:r w:rsidR="00EB3F4E" w:rsidRPr="00797EA7">
        <w:rPr>
          <w:lang w:val="cs-CZ"/>
        </w:rPr>
        <w:t xml:space="preserve">uvedlo, </w:t>
      </w:r>
      <w:r w:rsidR="004B75FA" w:rsidRPr="00797EA7">
        <w:rPr>
          <w:lang w:val="cs-CZ"/>
        </w:rPr>
        <w:t xml:space="preserve">že </w:t>
      </w:r>
      <w:r w:rsidR="004F108D" w:rsidRPr="00797EA7">
        <w:rPr>
          <w:lang w:val="cs-CZ"/>
        </w:rPr>
        <w:t>dovednosti byly hodnoceny</w:t>
      </w:r>
      <w:r w:rsidR="00EB3F4E" w:rsidRPr="00797EA7">
        <w:rPr>
          <w:lang w:val="cs-CZ"/>
        </w:rPr>
        <w:t xml:space="preserve">. </w:t>
      </w:r>
      <w:r w:rsidR="003F7C88" w:rsidRPr="00797EA7">
        <w:rPr>
          <w:lang w:val="cs-CZ"/>
        </w:rPr>
        <w:t>Při rozdělení podle zemí nejsou výsledky tak jednoznačné (</w:t>
      </w:r>
      <w:r w:rsidR="00F0418F" w:rsidRPr="00797EA7">
        <w:rPr>
          <w:lang w:val="cs-CZ"/>
        </w:rPr>
        <w:t xml:space="preserve">tabulka </w:t>
      </w:r>
      <w:r w:rsidR="00A30BB5" w:rsidRPr="00797EA7">
        <w:rPr>
          <w:lang w:val="cs-CZ"/>
        </w:rPr>
        <w:t>9</w:t>
      </w:r>
      <w:r w:rsidR="00F0418F" w:rsidRPr="00797EA7">
        <w:rPr>
          <w:lang w:val="cs-CZ"/>
        </w:rPr>
        <w:t>)</w:t>
      </w:r>
      <w:r w:rsidR="003F7C88" w:rsidRPr="00797EA7">
        <w:rPr>
          <w:lang w:val="cs-CZ"/>
        </w:rPr>
        <w:t xml:space="preserve">. V Belgii dosáhl nejvyššího průměrného skóre údaj "designové myšlení" (3,67). V Česku to </w:t>
      </w:r>
      <w:r w:rsidR="006C615E" w:rsidRPr="00797EA7">
        <w:rPr>
          <w:lang w:val="cs-CZ"/>
        </w:rPr>
        <w:t>byly</w:t>
      </w:r>
      <w:r w:rsidR="003F7C88" w:rsidRPr="00797EA7">
        <w:rPr>
          <w:lang w:val="cs-CZ"/>
        </w:rPr>
        <w:t>: "kreativita" a "schopnost přizpůsobit se budoucím výzvám" (</w:t>
      </w:r>
      <w:r w:rsidR="006C615E" w:rsidRPr="00797EA7">
        <w:rPr>
          <w:lang w:val="cs-CZ"/>
        </w:rPr>
        <w:t xml:space="preserve">oba s hodnotou </w:t>
      </w:r>
      <w:r w:rsidR="003F7C88" w:rsidRPr="00797EA7">
        <w:rPr>
          <w:lang w:val="cs-CZ"/>
        </w:rPr>
        <w:t xml:space="preserve">2,83). </w:t>
      </w:r>
      <w:r w:rsidR="006C615E" w:rsidRPr="00797EA7">
        <w:rPr>
          <w:lang w:val="cs-CZ"/>
        </w:rPr>
        <w:t>Stojí za zmínku, že průměrné skóre všech skupin bylo v zemi nejnižší. To může naznačovat nízkou úroveň uznání toho, že studenti mohou rozvíjet zelené dovednosti prostřednictvím pracovních stáží. V Řecku byla nejvyšší průměrná hodnota 3,7 u "povědomí o odolnosti". V Polsku to byla "</w:t>
      </w:r>
      <w:r w:rsidR="00266839" w:rsidRPr="00797EA7">
        <w:rPr>
          <w:lang w:val="cs-CZ"/>
        </w:rPr>
        <w:t>kreativita" a " schopnost přizpůsobit se budoucím výzvám" (obě na úrovni 3,75).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25" w:name="_Toc107410711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A30BB5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9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Funkční oblasti podniků související s potřebným rozšířením "zelených dovedností</w:t>
      </w:r>
      <w:bookmarkEnd w:id="25"/>
    </w:p>
    <w:tbl>
      <w:tblPr>
        <w:tblStyle w:val="Mkatabulky"/>
        <w:tblW w:w="8934" w:type="dxa"/>
        <w:tblLayout w:type="fixed"/>
        <w:tblLook w:val="04A0" w:firstRow="1" w:lastRow="0" w:firstColumn="1" w:lastColumn="0" w:noHBand="0" w:noVBand="1"/>
      </w:tblPr>
      <w:tblGrid>
        <w:gridCol w:w="993"/>
        <w:gridCol w:w="1004"/>
        <w:gridCol w:w="991"/>
        <w:gridCol w:w="1123"/>
        <w:gridCol w:w="992"/>
        <w:gridCol w:w="851"/>
        <w:gridCol w:w="850"/>
        <w:gridCol w:w="1138"/>
        <w:gridCol w:w="992"/>
      </w:tblGrid>
      <w:tr w:rsidR="00C25B93" w:rsidRPr="00797EA7" w:rsidTr="00175F11"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25B93" w:rsidRPr="00797EA7" w:rsidRDefault="00C25B93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inženýrské a technické dovednosti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vědecká gramotnost</w:t>
            </w: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provozní řízení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monitorování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designové myšlení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kreativita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schopnost přizpůsobit se budoucím výzvám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povědomí o odolnosti</w:t>
            </w:r>
          </w:p>
        </w:tc>
      </w:tr>
      <w:tr w:rsidR="00FF1B73" w:rsidRPr="00797EA7" w:rsidTr="00175F11"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78</w:t>
            </w:r>
          </w:p>
        </w:tc>
      </w:tr>
      <w:tr w:rsidR="00FF1B73" w:rsidRPr="00797EA7" w:rsidTr="00175F1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2.2</w:t>
            </w:r>
          </w:p>
        </w:tc>
      </w:tr>
      <w:tr w:rsidR="00FF1B73" w:rsidRPr="00797EA7" w:rsidTr="00175F1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7</w:t>
            </w:r>
          </w:p>
        </w:tc>
      </w:tr>
      <w:tr w:rsidR="00FF1B73" w:rsidRPr="00797EA7" w:rsidTr="00175F1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38</w:t>
            </w:r>
          </w:p>
        </w:tc>
      </w:tr>
      <w:tr w:rsidR="00FF1B73" w:rsidRPr="00797EA7" w:rsidTr="00175F11"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Průměr</w:t>
            </w:r>
          </w:p>
          <w:p w:rsidR="00B04D89" w:rsidRPr="00797EA7" w:rsidRDefault="00A46B5A">
            <w:pPr>
              <w:ind w:left="0" w:firstLine="0"/>
              <w:jc w:val="right"/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Std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dev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83</w:t>
            </w:r>
          </w:p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sz w:val="20"/>
                <w:szCs w:val="20"/>
                <w:lang w:val="cs-CZ"/>
              </w:rPr>
              <w:t>1.12</w:t>
            </w:r>
            <w:r w:rsidRPr="00797EA7">
              <w:rPr>
                <w:rFonts w:cstheme="minorHAnsi"/>
                <w:sz w:val="20"/>
                <w:szCs w:val="20"/>
                <w:lang w:val="cs-CZ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58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0.96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3.1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(0.79)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</w:t>
            </w:r>
            <w:r w:rsidR="00175F11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75 (1</w:t>
            </w:r>
            <w:r w:rsidR="00175F11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3.3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(1.02)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28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(1.05)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45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(0.81)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  <w:r w:rsidR="00175F11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41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(0.91)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V () - směrodatná odchylka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rStyle w:val="normaltextrun"/>
          <w:rFonts w:ascii="Calibri" w:hAnsi="Calibri" w:cs="Calibri"/>
          <w:i/>
          <w:iCs/>
          <w:sz w:val="20"/>
          <w:szCs w:val="20"/>
          <w:lang w:val="cs-CZ"/>
        </w:rPr>
      </w:pPr>
      <w:r w:rsidRPr="00797EA7">
        <w:rPr>
          <w:lang w:val="cs-CZ"/>
        </w:rPr>
        <w:t xml:space="preserve">V odpovědi na otázku, </w:t>
      </w:r>
      <w:r w:rsidR="004B75FA" w:rsidRPr="00797EA7">
        <w:rPr>
          <w:lang w:val="cs-CZ"/>
        </w:rPr>
        <w:t xml:space="preserve">jaké </w:t>
      </w:r>
      <w:r w:rsidRPr="00797EA7">
        <w:rPr>
          <w:rFonts w:cstheme="minorHAnsi"/>
          <w:bCs/>
          <w:color w:val="000000" w:themeColor="text1"/>
          <w:lang w:val="cs-CZ"/>
        </w:rPr>
        <w:t xml:space="preserve">nedostatky </w:t>
      </w:r>
      <w:r w:rsidR="00F66B8F" w:rsidRPr="00797EA7">
        <w:rPr>
          <w:rFonts w:cstheme="minorHAnsi"/>
          <w:bCs/>
          <w:color w:val="000000" w:themeColor="text1"/>
          <w:lang w:val="cs-CZ"/>
        </w:rPr>
        <w:t xml:space="preserve">spatřují ve </w:t>
      </w:r>
      <w:r w:rsidRPr="00797EA7">
        <w:rPr>
          <w:rFonts w:cstheme="minorHAnsi"/>
          <w:bCs/>
          <w:color w:val="000000" w:themeColor="text1"/>
          <w:lang w:val="cs-CZ"/>
        </w:rPr>
        <w:t xml:space="preserve">zlepšování ekologických dovedností ve vzdělávacích programech, dotazovaní učitelé uvedli, že </w:t>
      </w:r>
      <w:r w:rsidR="004F7F65" w:rsidRPr="00797EA7">
        <w:rPr>
          <w:lang w:val="cs-CZ"/>
        </w:rPr>
        <w:t xml:space="preserve">nejvýznamnější překážkou je nedostatečný počet případových studií. </w:t>
      </w:r>
      <w:r w:rsidR="00195D8F" w:rsidRPr="00797EA7">
        <w:rPr>
          <w:lang w:val="cs-CZ"/>
        </w:rPr>
        <w:t xml:space="preserve">Tuto slabinu </w:t>
      </w:r>
      <w:r w:rsidR="00F66B8F" w:rsidRPr="00797EA7">
        <w:rPr>
          <w:lang w:val="cs-CZ"/>
        </w:rPr>
        <w:t>spatřovalo</w:t>
      </w:r>
      <w:r w:rsidR="00195D8F" w:rsidRPr="00797EA7">
        <w:rPr>
          <w:lang w:val="cs-CZ"/>
        </w:rPr>
        <w:t xml:space="preserve"> více než 45 % učitelů a </w:t>
      </w:r>
      <w:r w:rsidR="00F66B8F" w:rsidRPr="00797EA7">
        <w:rPr>
          <w:lang w:val="cs-CZ"/>
        </w:rPr>
        <w:t xml:space="preserve">mohlo by být vhodné </w:t>
      </w:r>
      <w:r w:rsidR="00195D8F" w:rsidRPr="00797EA7">
        <w:rPr>
          <w:lang w:val="cs-CZ"/>
        </w:rPr>
        <w:t xml:space="preserve">zvážit nástroje, které učitelé používají k formování </w:t>
      </w:r>
      <w:r w:rsidR="00195D8F" w:rsidRPr="00797EA7">
        <w:rPr>
          <w:rFonts w:cstheme="minorHAnsi"/>
          <w:color w:val="000000" w:themeColor="text1"/>
          <w:lang w:val="cs-CZ"/>
        </w:rPr>
        <w:t xml:space="preserve">schopnosti studentů </w:t>
      </w:r>
      <w:r w:rsidR="00195D8F" w:rsidRPr="00797EA7">
        <w:rPr>
          <w:rFonts w:cstheme="minorHAnsi"/>
          <w:color w:val="000000" w:themeColor="text1"/>
          <w:lang w:val="cs-CZ"/>
        </w:rPr>
        <w:lastRenderedPageBreak/>
        <w:t xml:space="preserve">spojovat ekonomické a environmentální otázky. </w:t>
      </w:r>
      <w:r w:rsidR="00195D8F" w:rsidRPr="00797EA7">
        <w:rPr>
          <w:lang w:val="cs-CZ"/>
        </w:rPr>
        <w:t xml:space="preserve">Učitelé </w:t>
      </w:r>
      <w:r w:rsidR="00F66B8F" w:rsidRPr="00797EA7">
        <w:rPr>
          <w:rFonts w:cstheme="minorHAnsi"/>
          <w:color w:val="000000" w:themeColor="text1"/>
          <w:lang w:val="cs-CZ"/>
        </w:rPr>
        <w:t xml:space="preserve">utvářejí </w:t>
      </w:r>
      <w:r w:rsidR="00195D8F" w:rsidRPr="00797EA7">
        <w:rPr>
          <w:rFonts w:cstheme="minorHAnsi"/>
          <w:color w:val="000000" w:themeColor="text1"/>
          <w:lang w:val="cs-CZ"/>
        </w:rPr>
        <w:t>schopnost studentů především díky používání "případových studií" (57,6 %) nebo "prezentací" (45,5 %).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Při analýze údajů stojí za zmínku, že poměrně vysoké procento učitelů nevidí souvislost mezi environmentálními a ekonomickými otázkami (téměř 40 %), </w:t>
      </w:r>
      <w:r w:rsidR="00FC76FF" w:rsidRPr="00797EA7">
        <w:rPr>
          <w:lang w:val="cs-CZ"/>
        </w:rPr>
        <w:t xml:space="preserve">zatímco více než 30 % tvrdí, že ve vzdělávacích programech je příliš mnoho teorie. </w:t>
      </w:r>
      <w:r w:rsidR="00466ECD" w:rsidRPr="00797EA7">
        <w:rPr>
          <w:lang w:val="cs-CZ"/>
        </w:rPr>
        <w:t xml:space="preserve">To může naznačovat potřebu obohacení nebo nahrazení obsahu studijních programů praktičtějšími, na konkrétních případech založenými studiemi. </w:t>
      </w:r>
      <w:r w:rsidR="007A6D75" w:rsidRPr="00797EA7">
        <w:rPr>
          <w:lang w:val="cs-CZ"/>
        </w:rPr>
        <w:t xml:space="preserve">Za zmínku stojí, že učitelé také navrhují </w:t>
      </w:r>
      <w:r w:rsidR="00F66B8F" w:rsidRPr="00797EA7">
        <w:rPr>
          <w:lang w:val="cs-CZ"/>
        </w:rPr>
        <w:t xml:space="preserve">více </w:t>
      </w:r>
      <w:r w:rsidR="007A6D75" w:rsidRPr="00797EA7">
        <w:rPr>
          <w:lang w:val="cs-CZ"/>
        </w:rPr>
        <w:t xml:space="preserve">praxe pro utváření propojení mezi environmentálními a ekonomickými otázkami </w:t>
      </w:r>
      <w:r w:rsidR="00F162F4" w:rsidRPr="00797EA7">
        <w:rPr>
          <w:lang w:val="cs-CZ"/>
        </w:rPr>
        <w:t>(27,2 %)</w:t>
      </w:r>
      <w:r w:rsidR="007A6D75" w:rsidRPr="00797EA7">
        <w:rPr>
          <w:lang w:val="cs-CZ"/>
        </w:rPr>
        <w:t>.</w:t>
      </w:r>
      <w:r w:rsidR="008C0ED1" w:rsidRPr="00797EA7">
        <w:rPr>
          <w:lang w:val="cs-CZ"/>
        </w:rPr>
        <w:t xml:space="preserve"> V další možnosti učitelé označili skupinovou práci jako prvek rozvoje těchto dovedností. </w:t>
      </w:r>
      <w:r w:rsidR="00D5146C" w:rsidRPr="00797EA7">
        <w:rPr>
          <w:lang w:val="cs-CZ"/>
        </w:rPr>
        <w:t>Při výuce studentů argumentovat environmentálními otázkami s ekonomickými přínosy učitelé uvedli, že využívají především také "případové studie" ve formě prezentací (51,5 %)</w:t>
      </w:r>
      <w:r w:rsidR="002F2E8C" w:rsidRPr="00797EA7">
        <w:rPr>
          <w:lang w:val="cs-CZ"/>
        </w:rPr>
        <w:t xml:space="preserve">. </w:t>
      </w:r>
      <w:r w:rsidR="006D0D4C" w:rsidRPr="00797EA7">
        <w:rPr>
          <w:lang w:val="cs-CZ"/>
        </w:rPr>
        <w:t>Jako druhý nástroj učitelé uvedli "hodnocení rozhodnutí aktérů" (</w:t>
      </w:r>
      <w:r w:rsidR="007E5B30" w:rsidRPr="00797EA7">
        <w:rPr>
          <w:lang w:val="cs-CZ"/>
        </w:rPr>
        <w:t>39,4 %)</w:t>
      </w:r>
      <w:r w:rsidR="006D0D4C" w:rsidRPr="00797EA7">
        <w:rPr>
          <w:lang w:val="cs-CZ"/>
        </w:rPr>
        <w:t xml:space="preserve">. </w:t>
      </w:r>
      <w:r w:rsidR="00EF2A20" w:rsidRPr="00797EA7">
        <w:rPr>
          <w:lang w:val="cs-CZ"/>
        </w:rPr>
        <w:t xml:space="preserve">Při formování kooperativních dovedností žáků učitelé nejčastěji využívají také "případové studie" ve formě prezentací (42,4 %) a "praktické hodiny" (30,3 %). Mezi nejoblíbenější nástroje patří také "hodnocení rozhodnutí aktérů" (27,3 %), což podtrhuje praktický rozměr používaných nástrojů. </w:t>
      </w:r>
      <w:r w:rsidR="0068797F" w:rsidRPr="00797EA7">
        <w:rPr>
          <w:lang w:val="cs-CZ"/>
        </w:rPr>
        <w:t xml:space="preserve">Analyzované výsledky této části výzkumu naznačují poměrně významnou roli případových studií </w:t>
      </w:r>
      <w:r w:rsidR="001504AD" w:rsidRPr="00797EA7">
        <w:rPr>
          <w:lang w:val="cs-CZ"/>
        </w:rPr>
        <w:t xml:space="preserve">a praktických lekcí či hodnocení rozhodnutí aktérů </w:t>
      </w:r>
      <w:r w:rsidR="0068797F" w:rsidRPr="00797EA7">
        <w:rPr>
          <w:lang w:val="cs-CZ"/>
        </w:rPr>
        <w:t>jako nástrojů nejen pro prezentaci problematiky propojující environmentální a ekonomické otázky, ale také pro formování dovedností kritického hodnocení těchto vazeb.</w:t>
      </w:r>
    </w:p>
    <w:p w:rsidR="00D91CAE" w:rsidRPr="00797EA7" w:rsidRDefault="00D91CAE" w:rsidP="00AA0437">
      <w:pPr>
        <w:spacing w:before="120" w:after="120"/>
        <w:jc w:val="both"/>
        <w:rPr>
          <w:lang w:val="cs-CZ"/>
        </w:rPr>
      </w:pPr>
    </w:p>
    <w:p w:rsidR="00B04D89" w:rsidRPr="00797EA7" w:rsidRDefault="00A46B5A">
      <w:pPr>
        <w:pStyle w:val="paragraph"/>
        <w:numPr>
          <w:ilvl w:val="1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  <w:t>Ekologické dovednosti studentů vysokých škol</w:t>
      </w:r>
    </w:p>
    <w:p w:rsidR="00E27135" w:rsidRPr="00797EA7" w:rsidRDefault="00E27135" w:rsidP="00AA0437">
      <w:pPr>
        <w:spacing w:before="120" w:after="120"/>
        <w:jc w:val="both"/>
        <w:rPr>
          <w:rFonts w:cstheme="minorHAnsi"/>
          <w:lang w:val="cs-CZ"/>
        </w:rPr>
      </w:pPr>
    </w:p>
    <w:p w:rsidR="00B04D89" w:rsidRPr="00797EA7" w:rsidRDefault="00EB10E3">
      <w:pPr>
        <w:pStyle w:val="paragraph"/>
        <w:spacing w:before="0" w:beforeAutospacing="0" w:after="120" w:afterAutospacing="0"/>
        <w:jc w:val="both"/>
        <w:textAlignment w:val="baseline"/>
        <w:rPr>
          <w:lang w:val="cs-CZ"/>
        </w:rPr>
      </w:pPr>
      <w:r w:rsidRPr="00797EA7">
        <w:rPr>
          <w:rStyle w:val="normaltextrun"/>
          <w:rFonts w:ascii="Calibri" w:hAnsi="Calibri" w:cs="Calibri"/>
          <w:lang w:val="cs-CZ"/>
        </w:rPr>
        <w:t xml:space="preserve">V </w:t>
      </w:r>
      <w:r w:rsidR="00A46B5A" w:rsidRPr="00797EA7">
        <w:rPr>
          <w:rStyle w:val="normaltextrun"/>
          <w:rFonts w:ascii="Calibri" w:hAnsi="Calibri" w:cs="Calibri"/>
          <w:lang w:val="cs-CZ"/>
        </w:rPr>
        <w:t xml:space="preserve">rámci výzkumu 141 respondentů ze skupiny vysokoškolských studentů (dále jen studentů) </w:t>
      </w:r>
      <w:r w:rsidR="00A46B5A" w:rsidRPr="00797EA7">
        <w:rPr>
          <w:rFonts w:asciiTheme="minorHAnsi" w:hAnsiTheme="minorHAnsi" w:cstheme="minorHAnsi"/>
          <w:lang w:val="cs-CZ"/>
        </w:rPr>
        <w:t xml:space="preserve">převažovaly mezi studenty ženy (90 oproti 45 mužům; 6 osob odmítlo odpovědět). Průměrný věk všech respondentů byl 23,4 roku. Studenti navštěvovali převážně </w:t>
      </w:r>
      <w:proofErr w:type="spellStart"/>
      <w:r w:rsidR="00A46B5A" w:rsidRPr="00797EA7">
        <w:rPr>
          <w:rFonts w:asciiTheme="minorHAnsi" w:hAnsiTheme="minorHAnsi" w:cstheme="minorHAnsi"/>
          <w:lang w:val="cs-CZ"/>
        </w:rPr>
        <w:t>I</w:t>
      </w:r>
      <w:r w:rsidR="00A46B5A" w:rsidRPr="00797EA7">
        <w:rPr>
          <w:rFonts w:asciiTheme="minorHAnsi" w:hAnsiTheme="minorHAnsi" w:cstheme="minorHAnsi"/>
          <w:vertAlign w:val="superscript"/>
          <w:lang w:val="cs-CZ"/>
        </w:rPr>
        <w:t>st</w:t>
      </w:r>
      <w:proofErr w:type="spellEnd"/>
      <w:r w:rsidR="00A46B5A" w:rsidRPr="00797EA7">
        <w:rPr>
          <w:rFonts w:asciiTheme="minorHAnsi" w:hAnsiTheme="minorHAnsi" w:cstheme="minorHAnsi"/>
          <w:lang w:val="cs-CZ"/>
        </w:rPr>
        <w:t xml:space="preserve"> stupeň studia (bakalářský). Necelá polovina z nich měla pracovní zkušenosti (40,4 %) a každý čtvrtý student (26,9 %) měl zkušenosti s dobrovolnickou činností (podle zemí, nejvíce z Řecka).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Méně než polovina respondentů (40 %) se nesetkala s pojmem "zelené dovednosti". O něco méně respondentů (34 %) o tomto pojmu slyšelo a 26 % si nebylo jisto, zda jej zná. Většina respondentů </w:t>
      </w:r>
      <w:r w:rsidR="00EB10E3" w:rsidRPr="00797EA7">
        <w:rPr>
          <w:lang w:val="cs-CZ"/>
        </w:rPr>
        <w:t xml:space="preserve">chápala </w:t>
      </w:r>
      <w:r w:rsidRPr="00797EA7">
        <w:rPr>
          <w:lang w:val="cs-CZ"/>
        </w:rPr>
        <w:t>pojem "zelené dovednosti" jako "znalosti, schopnosti, hodnoty a postoje potřebné k rozvoji a podpoře společnosti, která snižuje dopad lidských činností na životní prostředí" (</w:t>
      </w:r>
      <w:r w:rsidR="009C0FE2" w:rsidRPr="00797EA7">
        <w:rPr>
          <w:lang w:val="cs-CZ"/>
        </w:rPr>
        <w:t>69,5</w:t>
      </w:r>
      <w:r w:rsidRPr="00797EA7">
        <w:rPr>
          <w:lang w:val="cs-CZ"/>
        </w:rPr>
        <w:t xml:space="preserve">,1 %) (tabulka </w:t>
      </w:r>
      <w:r w:rsidR="00E856F3" w:rsidRPr="00797EA7">
        <w:rPr>
          <w:lang w:val="cs-CZ"/>
        </w:rPr>
        <w:t>10)</w:t>
      </w:r>
      <w:r w:rsidRPr="00797EA7">
        <w:rPr>
          <w:lang w:val="cs-CZ"/>
        </w:rPr>
        <w:t xml:space="preserve">. </w:t>
      </w:r>
      <w:r w:rsidR="00E359E7" w:rsidRPr="00797EA7">
        <w:rPr>
          <w:lang w:val="cs-CZ"/>
        </w:rPr>
        <w:t xml:space="preserve">Více než 36 % respondentů chápalo tento pojem jako "řešení klimatických změn" a </w:t>
      </w:r>
      <w:r w:rsidR="00E3138C" w:rsidRPr="00797EA7">
        <w:rPr>
          <w:lang w:val="cs-CZ"/>
        </w:rPr>
        <w:t xml:space="preserve">téměř </w:t>
      </w:r>
      <w:r w:rsidRPr="00797EA7">
        <w:rPr>
          <w:lang w:val="cs-CZ"/>
        </w:rPr>
        <w:t xml:space="preserve">1/3 z nich </w:t>
      </w:r>
      <w:r w:rsidR="00E3138C" w:rsidRPr="00797EA7">
        <w:rPr>
          <w:lang w:val="cs-CZ"/>
        </w:rPr>
        <w:t xml:space="preserve">(31,2 %) </w:t>
      </w:r>
      <w:r w:rsidRPr="00797EA7">
        <w:rPr>
          <w:lang w:val="cs-CZ"/>
        </w:rPr>
        <w:t>také jako: "</w:t>
      </w:r>
      <w:r w:rsidR="00E3138C" w:rsidRPr="00797EA7">
        <w:rPr>
          <w:lang w:val="cs-CZ"/>
        </w:rPr>
        <w:t>nová hospodářská odvětví šetrná k životnímu prostředí</w:t>
      </w:r>
      <w:r w:rsidRPr="00797EA7">
        <w:rPr>
          <w:lang w:val="cs-CZ"/>
        </w:rPr>
        <w:t>" a "</w:t>
      </w:r>
      <w:r w:rsidR="00E3138C" w:rsidRPr="00797EA7">
        <w:rPr>
          <w:lang w:val="cs-CZ"/>
        </w:rPr>
        <w:t>ekologické výrobky/služby</w:t>
      </w:r>
      <w:r w:rsidRPr="00797EA7">
        <w:rPr>
          <w:lang w:val="cs-CZ"/>
        </w:rPr>
        <w:t xml:space="preserve">". Jako "přechod na nízkouhlíkové hospodářství" jej </w:t>
      </w:r>
      <w:r w:rsidR="00EB10E3" w:rsidRPr="00797EA7">
        <w:rPr>
          <w:lang w:val="cs-CZ"/>
        </w:rPr>
        <w:t xml:space="preserve">označilo </w:t>
      </w:r>
      <w:r w:rsidR="00A62506" w:rsidRPr="00797EA7">
        <w:rPr>
          <w:lang w:val="cs-CZ"/>
        </w:rPr>
        <w:t xml:space="preserve">38 </w:t>
      </w:r>
      <w:r w:rsidRPr="00797EA7">
        <w:rPr>
          <w:lang w:val="cs-CZ"/>
        </w:rPr>
        <w:t>respondentů (</w:t>
      </w:r>
      <w:r w:rsidR="00A62506" w:rsidRPr="00797EA7">
        <w:rPr>
          <w:lang w:val="cs-CZ"/>
        </w:rPr>
        <w:t>26</w:t>
      </w:r>
      <w:r w:rsidRPr="00797EA7">
        <w:rPr>
          <w:lang w:val="cs-CZ"/>
        </w:rPr>
        <w:t>,9 %). Nejméně (</w:t>
      </w:r>
      <w:r w:rsidR="00A62506" w:rsidRPr="00797EA7">
        <w:rPr>
          <w:lang w:val="cs-CZ"/>
        </w:rPr>
        <w:t xml:space="preserve">17 %), </w:t>
      </w:r>
      <w:r w:rsidR="00EB10E3" w:rsidRPr="00797EA7">
        <w:rPr>
          <w:lang w:val="cs-CZ"/>
        </w:rPr>
        <w:t xml:space="preserve">uvedlo, že </w:t>
      </w:r>
      <w:r w:rsidRPr="00797EA7">
        <w:rPr>
          <w:lang w:val="cs-CZ"/>
        </w:rPr>
        <w:t>tento pojem souvisí s "</w:t>
      </w:r>
      <w:r w:rsidR="00A62506" w:rsidRPr="00797EA7">
        <w:rPr>
          <w:lang w:val="cs-CZ"/>
        </w:rPr>
        <w:t>přechodem na oběhové hospodářství (hospodářství s uzavřeným cyklem)</w:t>
      </w:r>
      <w:r w:rsidRPr="00797EA7">
        <w:rPr>
          <w:lang w:val="cs-CZ"/>
        </w:rPr>
        <w:t xml:space="preserve">. </w:t>
      </w:r>
      <w:r w:rsidR="00A62506" w:rsidRPr="00797EA7">
        <w:rPr>
          <w:lang w:val="cs-CZ"/>
        </w:rPr>
        <w:t xml:space="preserve">Tyto výsledky jsou odlišné než ve skupině vysokoškolských </w:t>
      </w:r>
      <w:r w:rsidR="00EB10E3" w:rsidRPr="00797EA7">
        <w:rPr>
          <w:lang w:val="cs-CZ"/>
        </w:rPr>
        <w:t>učitelů.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26" w:name="_Toc107410714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br w:type="column"/>
      </w:r>
      <w:r w:rsidR="00A835F7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lastRenderedPageBreak/>
        <w:t xml:space="preserve">Tabulka </w:t>
      </w:r>
      <w:r w:rsidR="00A835F7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="00A835F7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="00A835F7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E856F3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10</w:t>
      </w:r>
      <w:r w:rsidR="00A835F7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="00A835F7"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="00A835F7" w:rsidRPr="00797EA7">
        <w:rPr>
          <w:i w:val="0"/>
          <w:iCs w:val="0"/>
          <w:color w:val="auto"/>
          <w:sz w:val="24"/>
          <w:szCs w:val="24"/>
          <w:lang w:val="cs-CZ"/>
        </w:rPr>
        <w:t xml:space="preserve"> Identifikace pojmu "zelené dovednosti</w:t>
      </w:r>
      <w:bookmarkEnd w:id="26"/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007"/>
        <w:gridCol w:w="1113"/>
        <w:gridCol w:w="1135"/>
        <w:gridCol w:w="884"/>
        <w:gridCol w:w="1531"/>
        <w:gridCol w:w="993"/>
        <w:gridCol w:w="2409"/>
      </w:tblGrid>
      <w:tr w:rsidR="00A835F7" w:rsidRPr="00797EA7" w:rsidTr="00A46B5A">
        <w:tc>
          <w:tcPr>
            <w:tcW w:w="10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835F7" w:rsidRPr="00797EA7" w:rsidRDefault="00A835F7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nízkouhlíkové hospodářství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oběhové hospodářství (uzavřená ekonomika).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boj proti změně klimatu</w:t>
            </w:r>
          </w:p>
        </w:tc>
        <w:tc>
          <w:tcPr>
            <w:tcW w:w="153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bookmarkStart w:id="27" w:name="_Hlk106007507"/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nová hospodářská odvětví šetrná k životnímu prostředí</w:t>
            </w:r>
            <w:bookmarkEnd w:id="27"/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zelené produkty/služby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znalosti, schopnosti, hodnoty a postoje potřebné k rozvoji a podpoře společnosti, která snižuje dopad lidských činností na životní prostředí.</w:t>
            </w:r>
          </w:p>
        </w:tc>
      </w:tr>
      <w:tr w:rsidR="00A835F7" w:rsidRPr="00797EA7" w:rsidTr="00A46B5A"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</w:tr>
      <w:tr w:rsidR="00A835F7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22</w:t>
            </w:r>
          </w:p>
        </w:tc>
      </w:tr>
      <w:tr w:rsidR="00A835F7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20</w:t>
            </w:r>
          </w:p>
        </w:tc>
      </w:tr>
      <w:tr w:rsidR="00A835F7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55</w:t>
            </w:r>
          </w:p>
        </w:tc>
      </w:tr>
      <w:tr w:rsidR="00A835F7" w:rsidRPr="00797EA7" w:rsidTr="00A46B5A"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b/>
                <w:bCs/>
                <w:sz w:val="20"/>
                <w:szCs w:val="20"/>
                <w:lang w:val="cs-CZ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98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highlight w:val="yellow"/>
          <w:lang w:val="cs-CZ"/>
        </w:rPr>
      </w:pPr>
      <w:r w:rsidRPr="00797EA7">
        <w:rPr>
          <w:lang w:val="cs-CZ"/>
        </w:rPr>
        <w:t xml:space="preserve">Většina </w:t>
      </w:r>
      <w:r w:rsidR="00535862" w:rsidRPr="00797EA7">
        <w:rPr>
          <w:lang w:val="cs-CZ"/>
        </w:rPr>
        <w:t xml:space="preserve">studentů </w:t>
      </w:r>
      <w:r w:rsidRPr="00797EA7">
        <w:rPr>
          <w:lang w:val="cs-CZ"/>
        </w:rPr>
        <w:t xml:space="preserve">se s pojmem "zelené dovednosti" setkala ve </w:t>
      </w:r>
      <w:r w:rsidR="00535862" w:rsidRPr="00797EA7">
        <w:rPr>
          <w:lang w:val="cs-CZ"/>
        </w:rPr>
        <w:t xml:space="preserve">studijním programu </w:t>
      </w:r>
      <w:r w:rsidRPr="00797EA7">
        <w:rPr>
          <w:lang w:val="cs-CZ"/>
        </w:rPr>
        <w:t>(</w:t>
      </w:r>
      <w:r w:rsidR="00535862" w:rsidRPr="00797EA7">
        <w:rPr>
          <w:lang w:val="cs-CZ"/>
        </w:rPr>
        <w:t>41,</w:t>
      </w:r>
      <w:r w:rsidRPr="00797EA7">
        <w:rPr>
          <w:lang w:val="cs-CZ"/>
        </w:rPr>
        <w:t xml:space="preserve">1 %) a v sociálních médiích (32,6 %) (tabulka </w:t>
      </w:r>
      <w:r w:rsidR="00E856F3" w:rsidRPr="00797EA7">
        <w:rPr>
          <w:lang w:val="cs-CZ"/>
        </w:rPr>
        <w:t>11)</w:t>
      </w:r>
      <w:r w:rsidRPr="00797EA7">
        <w:rPr>
          <w:lang w:val="cs-CZ"/>
        </w:rPr>
        <w:t xml:space="preserve">. </w:t>
      </w:r>
      <w:r w:rsidR="007612FB" w:rsidRPr="00797EA7">
        <w:rPr>
          <w:lang w:val="cs-CZ"/>
        </w:rPr>
        <w:t xml:space="preserve">Vědecké práce jako </w:t>
      </w:r>
      <w:r w:rsidRPr="00797EA7">
        <w:rPr>
          <w:lang w:val="cs-CZ"/>
        </w:rPr>
        <w:t xml:space="preserve">zdroj informací o termínu "zelené dovednosti" uvedlo </w:t>
      </w:r>
      <w:r w:rsidR="007612FB" w:rsidRPr="00797EA7">
        <w:rPr>
          <w:lang w:val="cs-CZ"/>
        </w:rPr>
        <w:t>16,3 % z nich</w:t>
      </w:r>
      <w:r w:rsidRPr="00797EA7">
        <w:rPr>
          <w:lang w:val="cs-CZ"/>
        </w:rPr>
        <w:t xml:space="preserve">. </w:t>
      </w:r>
      <w:r w:rsidR="007612FB" w:rsidRPr="00797EA7">
        <w:rPr>
          <w:lang w:val="cs-CZ"/>
        </w:rPr>
        <w:t xml:space="preserve">Tisk a televizi uvedla </w:t>
      </w:r>
      <w:r w:rsidR="00EB10E3" w:rsidRPr="00797EA7">
        <w:rPr>
          <w:lang w:val="cs-CZ"/>
        </w:rPr>
        <w:t xml:space="preserve">méně než </w:t>
      </w:r>
      <w:r w:rsidR="007612FB" w:rsidRPr="00797EA7">
        <w:rPr>
          <w:lang w:val="cs-CZ"/>
        </w:rPr>
        <w:t>desetina studentů (7,8 % a 7,1 %)</w:t>
      </w:r>
      <w:r w:rsidR="00501A89" w:rsidRPr="00797EA7">
        <w:rPr>
          <w:lang w:val="cs-CZ"/>
        </w:rPr>
        <w:t xml:space="preserve">. </w:t>
      </w:r>
      <w:r w:rsidRPr="00797EA7">
        <w:rPr>
          <w:lang w:val="cs-CZ"/>
        </w:rPr>
        <w:t xml:space="preserve">Při využití možnosti uvést jiné místo respondenti zdůraznili, že se s tímto termínem nesetkali </w:t>
      </w:r>
      <w:r w:rsidR="00501A89" w:rsidRPr="00797EA7">
        <w:rPr>
          <w:lang w:val="cs-CZ"/>
        </w:rPr>
        <w:t>(12 odpovědí) nebo se s ním setkali přímo ve výzkumu v zaměstnání či na dobrovolnickém místě</w:t>
      </w:r>
      <w:r w:rsidRPr="00797EA7">
        <w:rPr>
          <w:lang w:val="cs-CZ"/>
        </w:rPr>
        <w:t xml:space="preserve">. To může znamenat, že tento termín není mezi dotázanými </w:t>
      </w:r>
      <w:r w:rsidR="00501A89" w:rsidRPr="00797EA7">
        <w:rPr>
          <w:lang w:val="cs-CZ"/>
        </w:rPr>
        <w:t xml:space="preserve">studenty oborů </w:t>
      </w:r>
      <w:r w:rsidRPr="00797EA7">
        <w:rPr>
          <w:lang w:val="cs-CZ"/>
        </w:rPr>
        <w:t xml:space="preserve">souvisejících se sociální ekonomikou </w:t>
      </w:r>
      <w:r w:rsidR="00501A89" w:rsidRPr="00797EA7">
        <w:rPr>
          <w:lang w:val="cs-CZ"/>
        </w:rPr>
        <w:t xml:space="preserve">tak </w:t>
      </w:r>
      <w:r w:rsidRPr="00797EA7">
        <w:rPr>
          <w:lang w:val="cs-CZ"/>
        </w:rPr>
        <w:t xml:space="preserve">oblíbený, což může být překvapivé </w:t>
      </w:r>
      <w:r w:rsidR="00501A89" w:rsidRPr="00797EA7">
        <w:rPr>
          <w:lang w:val="cs-CZ"/>
        </w:rPr>
        <w:t>(podobně jako ve skupině vysokoškolských učitelů)</w:t>
      </w:r>
      <w:r w:rsidRPr="00797EA7">
        <w:rPr>
          <w:lang w:val="cs-CZ"/>
        </w:rPr>
        <w:t xml:space="preserve">. </w:t>
      </w:r>
      <w:r w:rsidR="00501A89" w:rsidRPr="00797EA7">
        <w:rPr>
          <w:lang w:val="cs-CZ"/>
        </w:rPr>
        <w:t xml:space="preserve">Lepší informací je, </w:t>
      </w:r>
      <w:r w:rsidR="00EB10E3" w:rsidRPr="00797EA7">
        <w:rPr>
          <w:lang w:val="cs-CZ"/>
        </w:rPr>
        <w:t xml:space="preserve">že </w:t>
      </w:r>
      <w:r w:rsidR="00501A89" w:rsidRPr="00797EA7">
        <w:rPr>
          <w:lang w:val="cs-CZ"/>
        </w:rPr>
        <w:t xml:space="preserve">studenti se s </w:t>
      </w:r>
      <w:r w:rsidR="00EB10E3" w:rsidRPr="00797EA7">
        <w:rPr>
          <w:lang w:val="cs-CZ"/>
        </w:rPr>
        <w:t xml:space="preserve">termínem </w:t>
      </w:r>
      <w:r w:rsidR="00501A89" w:rsidRPr="00797EA7">
        <w:rPr>
          <w:lang w:val="cs-CZ"/>
        </w:rPr>
        <w:t>seznámili většinou prostřednictvím studijního programu</w:t>
      </w:r>
      <w:r w:rsidRPr="00797EA7">
        <w:rPr>
          <w:lang w:val="cs-CZ"/>
        </w:rPr>
        <w:t xml:space="preserve">. Z pohledu skupiny respondentů se jedná o poměrně důležitou informaci, která naznačuje, že téma zelených dovedností </w:t>
      </w:r>
      <w:r w:rsidR="00501A89" w:rsidRPr="00797EA7">
        <w:rPr>
          <w:lang w:val="cs-CZ"/>
        </w:rPr>
        <w:t xml:space="preserve">by mělo být prezentováno prostřednictvím studijního programu v rozšířené verzi a </w:t>
      </w:r>
      <w:r w:rsidRPr="00797EA7">
        <w:rPr>
          <w:lang w:val="cs-CZ"/>
        </w:rPr>
        <w:t xml:space="preserve">studijní plány předmětů souvisejících se sociální ekonomií </w:t>
      </w:r>
      <w:r w:rsidR="00501A89" w:rsidRPr="00797EA7">
        <w:rPr>
          <w:lang w:val="cs-CZ"/>
        </w:rPr>
        <w:t>by mohly být nejlepším místem pro prezentaci této myšlenky</w:t>
      </w:r>
      <w:r w:rsidRPr="00797EA7">
        <w:rPr>
          <w:lang w:val="cs-CZ"/>
        </w:rPr>
        <w:t xml:space="preserve">.  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28" w:name="_Toc107410715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E856F3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11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Zdroje, ze kterých pochází pojem "zelené dovednosti</w:t>
      </w:r>
      <w:bookmarkEnd w:id="28"/>
    </w:p>
    <w:tbl>
      <w:tblPr>
        <w:tblStyle w:val="Mkatabulky"/>
        <w:tblW w:w="9287" w:type="dxa"/>
        <w:tblLayout w:type="fixed"/>
        <w:tblLook w:val="04A0" w:firstRow="1" w:lastRow="0" w:firstColumn="1" w:lastColumn="0" w:noHBand="0" w:noVBand="1"/>
      </w:tblPr>
      <w:tblGrid>
        <w:gridCol w:w="1007"/>
        <w:gridCol w:w="1261"/>
        <w:gridCol w:w="1152"/>
        <w:gridCol w:w="1258"/>
        <w:gridCol w:w="1152"/>
        <w:gridCol w:w="1152"/>
        <w:gridCol w:w="1152"/>
        <w:gridCol w:w="1153"/>
      </w:tblGrid>
      <w:tr w:rsidR="000607E5" w:rsidRPr="00797EA7" w:rsidTr="00A46B5A">
        <w:tc>
          <w:tcPr>
            <w:tcW w:w="10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607E5" w:rsidRPr="00797EA7" w:rsidRDefault="000607E5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studijní program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vědecké práce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akademické konference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tisk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sociální média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televize</w:t>
            </w: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další</w:t>
            </w:r>
          </w:p>
        </w:tc>
      </w:tr>
      <w:tr w:rsidR="000607E5" w:rsidRPr="00797EA7" w:rsidTr="00A46B5A"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0607E5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</w:tr>
      <w:tr w:rsidR="000607E5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</w:tr>
      <w:tr w:rsidR="000607E5" w:rsidRPr="00797EA7" w:rsidTr="00A46B5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</w:t>
            </w:r>
          </w:p>
        </w:tc>
      </w:tr>
      <w:tr w:rsidR="000607E5" w:rsidRPr="00797EA7" w:rsidTr="00A46B5A"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3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(.) - jev se nevyskytl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Během průzkumu byli respondenti rovněž dotazováni na znalost pojmu "oběhové hospodářství". Většina z nich </w:t>
      </w:r>
      <w:r w:rsidR="00EB10E3" w:rsidRPr="00797EA7">
        <w:rPr>
          <w:lang w:val="cs-CZ"/>
        </w:rPr>
        <w:t xml:space="preserve">uvedla, že </w:t>
      </w:r>
      <w:r w:rsidRPr="00797EA7">
        <w:rPr>
          <w:lang w:val="cs-CZ"/>
        </w:rPr>
        <w:t>se jedná o "recyklaci a využití materiálů ve výrobních, distribučních nebo spotřebních procesech" (</w:t>
      </w:r>
      <w:r w:rsidR="00AA045B" w:rsidRPr="00797EA7">
        <w:rPr>
          <w:lang w:val="cs-CZ"/>
        </w:rPr>
        <w:t xml:space="preserve">71,6 %) (podobně ve skupině vysokoškolských učitelů to bylo </w:t>
      </w:r>
      <w:r w:rsidRPr="00797EA7">
        <w:rPr>
          <w:lang w:val="cs-CZ"/>
        </w:rPr>
        <w:t xml:space="preserve">75,8 %) nebo "opětovné využívání přírodních zdrojů" </w:t>
      </w:r>
      <w:r w:rsidR="00AA045B" w:rsidRPr="00797EA7">
        <w:rPr>
          <w:lang w:val="cs-CZ"/>
        </w:rPr>
        <w:t xml:space="preserve">(59,6 %). Co může být překvapivé, ve skupině vysokoškolských učitelů to bylo pouze </w:t>
      </w:r>
      <w:r w:rsidRPr="00797EA7">
        <w:rPr>
          <w:lang w:val="cs-CZ"/>
        </w:rPr>
        <w:t>45,5 %</w:t>
      </w:r>
      <w:r w:rsidR="00080041" w:rsidRPr="00797EA7">
        <w:rPr>
          <w:lang w:val="cs-CZ"/>
        </w:rPr>
        <w:t>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>Když byli respondenti dotázáni, do jaké míry jsou ve studijních oborech na vaší univerzitě realizovány kurzy zaměřené na rozvoj ekologických dovedností, většina z nich uvedla jako hodnocení "</w:t>
      </w:r>
      <w:r w:rsidRPr="00797EA7">
        <w:rPr>
          <w:i/>
          <w:iCs/>
          <w:lang w:val="cs-CZ"/>
        </w:rPr>
        <w:t>3</w:t>
      </w:r>
      <w:r w:rsidRPr="00797EA7">
        <w:rPr>
          <w:lang w:val="cs-CZ"/>
        </w:rPr>
        <w:t>". Vzhledem ke škále, kde 1 znamenala "</w:t>
      </w:r>
      <w:r w:rsidRPr="00797EA7">
        <w:rPr>
          <w:i/>
          <w:iCs/>
          <w:lang w:val="cs-CZ"/>
        </w:rPr>
        <w:t xml:space="preserve">v žádném případě" </w:t>
      </w:r>
      <w:r w:rsidRPr="00797EA7">
        <w:rPr>
          <w:lang w:val="cs-CZ"/>
        </w:rPr>
        <w:t>a 5 znamenalo "</w:t>
      </w:r>
      <w:r w:rsidRPr="00797EA7">
        <w:rPr>
          <w:i/>
          <w:iCs/>
          <w:lang w:val="cs-CZ"/>
        </w:rPr>
        <w:t xml:space="preserve">plně", </w:t>
      </w:r>
      <w:r w:rsidRPr="00797EA7">
        <w:rPr>
          <w:lang w:val="cs-CZ"/>
        </w:rPr>
        <w:t xml:space="preserve">bylo možné spočítat základní statistické údaje: průměrnou hodnotu a směrodatnou odchylku. </w:t>
      </w:r>
      <w:r w:rsidRPr="00797EA7">
        <w:rPr>
          <w:lang w:val="cs-CZ"/>
        </w:rPr>
        <w:lastRenderedPageBreak/>
        <w:t xml:space="preserve">U </w:t>
      </w:r>
      <w:r w:rsidR="00EB10E3" w:rsidRPr="00797EA7">
        <w:rPr>
          <w:lang w:val="cs-CZ"/>
        </w:rPr>
        <w:t xml:space="preserve">této otázky </w:t>
      </w:r>
      <w:r w:rsidRPr="00797EA7">
        <w:rPr>
          <w:lang w:val="cs-CZ"/>
        </w:rPr>
        <w:t xml:space="preserve">činila průměrná hodnota </w:t>
      </w:r>
      <w:r w:rsidR="00C42313" w:rsidRPr="00797EA7">
        <w:rPr>
          <w:lang w:val="cs-CZ"/>
        </w:rPr>
        <w:t>3</w:t>
      </w:r>
      <w:r w:rsidRPr="00797EA7">
        <w:rPr>
          <w:lang w:val="cs-CZ"/>
        </w:rPr>
        <w:t>,</w:t>
      </w:r>
      <w:r w:rsidR="00C42313" w:rsidRPr="00797EA7">
        <w:rPr>
          <w:lang w:val="cs-CZ"/>
        </w:rPr>
        <w:t xml:space="preserve">10, </w:t>
      </w:r>
      <w:r w:rsidRPr="00797EA7">
        <w:rPr>
          <w:lang w:val="cs-CZ"/>
        </w:rPr>
        <w:t>což lze interpretovat tak, že se blíží tvrzení "</w:t>
      </w:r>
      <w:r w:rsidR="00C42313" w:rsidRPr="00797EA7">
        <w:rPr>
          <w:i/>
          <w:iCs/>
          <w:lang w:val="cs-CZ"/>
        </w:rPr>
        <w:t>plně"</w:t>
      </w:r>
      <w:r w:rsidRPr="00797EA7">
        <w:rPr>
          <w:lang w:val="cs-CZ"/>
        </w:rPr>
        <w:t>. Směrodatná odchylka činila 1,</w:t>
      </w:r>
      <w:r w:rsidR="00C42313" w:rsidRPr="00797EA7">
        <w:rPr>
          <w:lang w:val="cs-CZ"/>
        </w:rPr>
        <w:t xml:space="preserve">01, </w:t>
      </w:r>
      <w:r w:rsidRPr="00797EA7">
        <w:rPr>
          <w:lang w:val="cs-CZ"/>
        </w:rPr>
        <w:t xml:space="preserve">což může znamenat velkou odchylku až o jeden stupeň v plusu nebo mínusu. Podle zemí byl nejvyšší průměr zaznamenán v </w:t>
      </w:r>
      <w:r w:rsidR="00211593" w:rsidRPr="00797EA7">
        <w:rPr>
          <w:lang w:val="cs-CZ"/>
        </w:rPr>
        <w:t xml:space="preserve">Belgii </w:t>
      </w:r>
      <w:r w:rsidRPr="00797EA7">
        <w:rPr>
          <w:lang w:val="cs-CZ"/>
        </w:rPr>
        <w:t>(3,</w:t>
      </w:r>
      <w:r w:rsidR="00211593" w:rsidRPr="00797EA7">
        <w:rPr>
          <w:lang w:val="cs-CZ"/>
        </w:rPr>
        <w:t xml:space="preserve">87) </w:t>
      </w:r>
      <w:r w:rsidRPr="00797EA7">
        <w:rPr>
          <w:lang w:val="cs-CZ"/>
        </w:rPr>
        <w:t xml:space="preserve">a nejnižší v </w:t>
      </w:r>
      <w:r w:rsidR="00C42313" w:rsidRPr="00797EA7">
        <w:rPr>
          <w:lang w:val="cs-CZ"/>
        </w:rPr>
        <w:t xml:space="preserve">Řecku </w:t>
      </w:r>
      <w:r w:rsidRPr="00797EA7">
        <w:rPr>
          <w:lang w:val="cs-CZ"/>
        </w:rPr>
        <w:t>(2,</w:t>
      </w:r>
      <w:r w:rsidR="00C42313" w:rsidRPr="00797EA7">
        <w:rPr>
          <w:lang w:val="cs-CZ"/>
        </w:rPr>
        <w:t>32)</w:t>
      </w:r>
      <w:r w:rsidR="00E856F3" w:rsidRPr="00797EA7">
        <w:rPr>
          <w:lang w:val="cs-CZ"/>
        </w:rPr>
        <w:t xml:space="preserve">. </w:t>
      </w:r>
    </w:p>
    <w:p w:rsidR="00B04D89" w:rsidRPr="00797EA7" w:rsidRDefault="00A46B5A">
      <w:pPr>
        <w:spacing w:after="120"/>
        <w:jc w:val="both"/>
        <w:rPr>
          <w:highlight w:val="yellow"/>
          <w:lang w:val="cs-CZ"/>
        </w:rPr>
      </w:pPr>
      <w:r w:rsidRPr="00797EA7">
        <w:rPr>
          <w:lang w:val="cs-CZ"/>
        </w:rPr>
        <w:t xml:space="preserve">V otevřené otázce </w:t>
      </w:r>
      <w:r w:rsidR="004260F4" w:rsidRPr="00797EA7">
        <w:rPr>
          <w:lang w:val="cs-CZ"/>
        </w:rPr>
        <w:t xml:space="preserve">studenti </w:t>
      </w:r>
      <w:r w:rsidRPr="00797EA7">
        <w:rPr>
          <w:lang w:val="cs-CZ"/>
        </w:rPr>
        <w:t>uváděli převážně předměty s tématy udržitelného řízení ("</w:t>
      </w:r>
      <w:r w:rsidR="0040091A" w:rsidRPr="00797EA7">
        <w:rPr>
          <w:i/>
          <w:iCs/>
          <w:lang w:val="cs-CZ"/>
        </w:rPr>
        <w:t>Management udržitelnosti</w:t>
      </w:r>
      <w:r w:rsidRPr="00797EA7">
        <w:rPr>
          <w:lang w:val="cs-CZ"/>
        </w:rPr>
        <w:t>", "</w:t>
      </w:r>
      <w:r w:rsidR="0040091A" w:rsidRPr="00797EA7">
        <w:rPr>
          <w:i/>
          <w:lang w:val="cs-CZ"/>
        </w:rPr>
        <w:t>Udržitelnost spotřeby a výroby</w:t>
      </w:r>
      <w:r w:rsidRPr="00797EA7">
        <w:rPr>
          <w:lang w:val="cs-CZ"/>
        </w:rPr>
        <w:t>", "</w:t>
      </w:r>
      <w:r w:rsidR="0040091A" w:rsidRPr="00797EA7">
        <w:rPr>
          <w:i/>
          <w:lang w:val="cs-CZ"/>
        </w:rPr>
        <w:t>Společenská odpovědnost firem</w:t>
      </w:r>
      <w:r w:rsidR="0040091A" w:rsidRPr="00797EA7">
        <w:rPr>
          <w:i/>
          <w:iCs/>
          <w:lang w:val="cs-CZ"/>
        </w:rPr>
        <w:t>/</w:t>
      </w:r>
      <w:r w:rsidR="004260F4" w:rsidRPr="00797EA7">
        <w:rPr>
          <w:i/>
          <w:iCs/>
          <w:lang w:val="cs-CZ"/>
        </w:rPr>
        <w:t>CSR</w:t>
      </w:r>
      <w:r w:rsidRPr="00797EA7">
        <w:rPr>
          <w:i/>
          <w:iCs/>
          <w:lang w:val="cs-CZ"/>
        </w:rPr>
        <w:t xml:space="preserve">") </w:t>
      </w:r>
      <w:r w:rsidRPr="00797EA7">
        <w:rPr>
          <w:lang w:val="cs-CZ"/>
        </w:rPr>
        <w:t xml:space="preserve">nebo sociálního podnikání, v </w:t>
      </w:r>
      <w:proofErr w:type="gramStart"/>
      <w:r w:rsidRPr="00797EA7">
        <w:rPr>
          <w:lang w:val="cs-CZ"/>
        </w:rPr>
        <w:t>rámci</w:t>
      </w:r>
      <w:proofErr w:type="gramEnd"/>
      <w:r w:rsidRPr="00797EA7">
        <w:rPr>
          <w:lang w:val="cs-CZ"/>
        </w:rPr>
        <w:t xml:space="preserve"> kterých byly rozvíjeny ekologické dovednosti (všech indicií bylo </w:t>
      </w:r>
      <w:r w:rsidR="004260F4" w:rsidRPr="00797EA7">
        <w:rPr>
          <w:lang w:val="cs-CZ"/>
        </w:rPr>
        <w:t xml:space="preserve">35, </w:t>
      </w:r>
      <w:r w:rsidRPr="00797EA7">
        <w:rPr>
          <w:lang w:val="cs-CZ"/>
        </w:rPr>
        <w:t>některé předměty se překrývaly).</w:t>
      </w:r>
    </w:p>
    <w:p w:rsidR="00B04D89" w:rsidRPr="00797EA7" w:rsidRDefault="00A46B5A">
      <w:pPr>
        <w:spacing w:after="120"/>
        <w:jc w:val="both"/>
        <w:rPr>
          <w:highlight w:val="yellow"/>
          <w:lang w:val="cs-CZ"/>
        </w:rPr>
      </w:pPr>
      <w:r w:rsidRPr="00797EA7">
        <w:rPr>
          <w:lang w:val="cs-CZ"/>
        </w:rPr>
        <w:t xml:space="preserve">Respondenti hodnotili vhodné </w:t>
      </w:r>
      <w:r w:rsidR="00DF10A5" w:rsidRPr="00797EA7">
        <w:rPr>
          <w:lang w:val="cs-CZ"/>
        </w:rPr>
        <w:t xml:space="preserve">studijní výsledky a studijní plány jako </w:t>
      </w:r>
      <w:r w:rsidRPr="00797EA7">
        <w:rPr>
          <w:lang w:val="cs-CZ"/>
        </w:rPr>
        <w:t xml:space="preserve">nejvyšší příležitost k získání "zelených dovedností". Podle jednotlivých zemí převažuje ve většině zemí uvedení studijního plánu, i když v </w:t>
      </w:r>
      <w:r w:rsidR="007C7E8B" w:rsidRPr="00797EA7">
        <w:rPr>
          <w:lang w:val="cs-CZ"/>
        </w:rPr>
        <w:t xml:space="preserve">České republice </w:t>
      </w:r>
      <w:r w:rsidRPr="00797EA7">
        <w:rPr>
          <w:lang w:val="cs-CZ"/>
        </w:rPr>
        <w:t xml:space="preserve">převažovalo uvedení </w:t>
      </w:r>
      <w:r w:rsidR="007C7E8B" w:rsidRPr="00797EA7">
        <w:rPr>
          <w:lang w:val="cs-CZ"/>
        </w:rPr>
        <w:t>studijních výsledků (</w:t>
      </w:r>
      <w:r w:rsidRPr="00797EA7">
        <w:rPr>
          <w:lang w:val="cs-CZ"/>
        </w:rPr>
        <w:t xml:space="preserve">tabulka </w:t>
      </w:r>
      <w:r w:rsidR="00E856F3" w:rsidRPr="00797EA7">
        <w:rPr>
          <w:lang w:val="cs-CZ"/>
        </w:rPr>
        <w:t>12)</w:t>
      </w:r>
      <w:r w:rsidRPr="00797EA7">
        <w:rPr>
          <w:lang w:val="cs-CZ"/>
        </w:rPr>
        <w:t>.</w:t>
      </w:r>
    </w:p>
    <w:p w:rsidR="00B04D89" w:rsidRPr="00797EA7" w:rsidRDefault="00A46B5A">
      <w:pPr>
        <w:jc w:val="both"/>
        <w:rPr>
          <w:lang w:val="cs-CZ"/>
        </w:rPr>
      </w:pPr>
      <w:bookmarkStart w:id="29" w:name="_Toc107410717"/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lang w:val="cs-CZ"/>
        </w:rPr>
        <w:fldChar w:fldCharType="separate"/>
      </w:r>
      <w:r w:rsidR="00E856F3" w:rsidRPr="00797EA7">
        <w:rPr>
          <w:b/>
          <w:bCs/>
          <w:noProof/>
          <w:lang w:val="cs-CZ"/>
        </w:rPr>
        <w:t>12</w:t>
      </w:r>
      <w:r w:rsidRPr="00797EA7">
        <w:rPr>
          <w:b/>
          <w:bCs/>
          <w:lang w:val="cs-CZ"/>
        </w:rPr>
        <w:fldChar w:fldCharType="end"/>
      </w:r>
      <w:r w:rsidRPr="00797EA7">
        <w:rPr>
          <w:b/>
          <w:bCs/>
          <w:lang w:val="cs-CZ"/>
        </w:rPr>
        <w:t xml:space="preserve">. </w:t>
      </w:r>
      <w:r w:rsidRPr="00797EA7">
        <w:rPr>
          <w:lang w:val="cs-CZ"/>
        </w:rPr>
        <w:t>Příležitost k získání "zelených dovedností" na základě vybraných vzdělávacích prvků podle zemí</w:t>
      </w:r>
      <w:bookmarkEnd w:id="29"/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2598"/>
        <w:gridCol w:w="2599"/>
        <w:gridCol w:w="2599"/>
      </w:tblGrid>
      <w:tr w:rsidR="000607E5" w:rsidRPr="00797EA7" w:rsidTr="00A46B5A"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607E5" w:rsidRPr="00797EA7" w:rsidRDefault="000607E5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59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studijní plány</w:t>
            </w:r>
          </w:p>
        </w:tc>
        <w:tc>
          <w:tcPr>
            <w:tcW w:w="25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výsledky učení</w:t>
            </w:r>
          </w:p>
        </w:tc>
        <w:tc>
          <w:tcPr>
            <w:tcW w:w="25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stáže/umístění</w:t>
            </w:r>
          </w:p>
        </w:tc>
      </w:tr>
      <w:tr w:rsidR="007A7573" w:rsidRPr="00797EA7" w:rsidTr="00A46B5A"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2,73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2,88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2,67</w:t>
            </w:r>
          </w:p>
        </w:tc>
      </w:tr>
      <w:tr w:rsidR="007A7573" w:rsidRPr="00797EA7" w:rsidTr="00A46B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3,36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3,40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3,29</w:t>
            </w:r>
          </w:p>
        </w:tc>
      </w:tr>
      <w:tr w:rsidR="007A7573" w:rsidRPr="00797EA7" w:rsidTr="00A46B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3,20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3,10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3,20</w:t>
            </w:r>
          </w:p>
        </w:tc>
      </w:tr>
      <w:tr w:rsidR="007A7573" w:rsidRPr="00797EA7" w:rsidTr="00A46B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3,38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3,37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2,99</w:t>
            </w:r>
          </w:p>
        </w:tc>
      </w:tr>
      <w:tr w:rsidR="000607E5" w:rsidRPr="00797EA7" w:rsidTr="00A46B5A"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Průměr</w:t>
            </w:r>
          </w:p>
          <w:p w:rsidR="00B04D89" w:rsidRPr="00797EA7" w:rsidRDefault="00A46B5A">
            <w:pPr>
              <w:ind w:left="0" w:hanging="27"/>
              <w:jc w:val="right"/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Std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dev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>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 xml:space="preserve">3.28 </w:t>
            </w:r>
          </w:p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(</w:t>
            </w:r>
            <w:r w:rsidR="007A7573"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0</w:t>
            </w:r>
            <w:r w:rsidRPr="00797EA7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  <w:lang w:val="cs-CZ"/>
              </w:rPr>
              <w:t>.</w:t>
            </w:r>
            <w:r w:rsidR="007A7573" w:rsidRPr="00797EA7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  <w:lang w:val="cs-CZ"/>
              </w:rPr>
              <w:t>88</w:t>
            </w: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3.</w:t>
            </w:r>
            <w:r w:rsidR="007A7573"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28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(</w:t>
            </w:r>
            <w:r w:rsidR="007A7573" w:rsidRPr="00797EA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0</w:t>
            </w:r>
            <w:r w:rsidRPr="00797EA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.</w:t>
            </w:r>
            <w:r w:rsidR="007A7573" w:rsidRPr="00797EA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82</w:t>
            </w: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3.06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(</w:t>
            </w:r>
            <w:r w:rsidRPr="00797EA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1.</w:t>
            </w:r>
            <w:r w:rsidR="007A7573" w:rsidRPr="00797EA7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17</w:t>
            </w: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)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V () - směrodatná odchylka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highlight w:val="yellow"/>
          <w:lang w:val="cs-CZ"/>
        </w:rPr>
      </w:pPr>
      <w:r w:rsidRPr="00797EA7">
        <w:rPr>
          <w:lang w:val="cs-CZ"/>
        </w:rPr>
        <w:t xml:space="preserve">Při analýze míry osvojení si ekologických dovedností na místě praxe </w:t>
      </w:r>
      <w:r w:rsidR="005853D3" w:rsidRPr="00797EA7">
        <w:rPr>
          <w:lang w:val="cs-CZ"/>
        </w:rPr>
        <w:t xml:space="preserve">studenti </w:t>
      </w:r>
      <w:r w:rsidRPr="00797EA7">
        <w:rPr>
          <w:lang w:val="cs-CZ"/>
        </w:rPr>
        <w:t>uvedli, že nejlépe si osvojili "</w:t>
      </w:r>
      <w:r w:rsidR="00F37D6C" w:rsidRPr="00797EA7">
        <w:rPr>
          <w:lang w:val="cs-CZ"/>
        </w:rPr>
        <w:t>povědomí o odolnosti vůči postupujícím klimatickým změnám a dopadu výrobních/služebních procesů na ně</w:t>
      </w:r>
      <w:r w:rsidRPr="00797EA7">
        <w:rPr>
          <w:lang w:val="cs-CZ"/>
        </w:rPr>
        <w:t>" (průměr: 3,</w:t>
      </w:r>
      <w:r w:rsidR="00F37D6C" w:rsidRPr="00797EA7">
        <w:rPr>
          <w:lang w:val="cs-CZ"/>
        </w:rPr>
        <w:t>67)</w:t>
      </w:r>
      <w:r w:rsidRPr="00797EA7">
        <w:rPr>
          <w:lang w:val="cs-CZ"/>
        </w:rPr>
        <w:t xml:space="preserve">. V </w:t>
      </w:r>
      <w:r w:rsidR="00BD6F8E" w:rsidRPr="00797EA7">
        <w:rPr>
          <w:lang w:val="cs-CZ"/>
        </w:rPr>
        <w:t xml:space="preserve">této otázce </w:t>
      </w:r>
      <w:r w:rsidRPr="00797EA7">
        <w:rPr>
          <w:lang w:val="cs-CZ"/>
        </w:rPr>
        <w:t xml:space="preserve">bylo hodnoceno 8 </w:t>
      </w:r>
      <w:r w:rsidR="00C53164" w:rsidRPr="00797EA7">
        <w:rPr>
          <w:lang w:val="cs-CZ"/>
        </w:rPr>
        <w:t xml:space="preserve">zmíněných </w:t>
      </w:r>
      <w:r w:rsidRPr="00797EA7">
        <w:rPr>
          <w:lang w:val="cs-CZ"/>
        </w:rPr>
        <w:t>dovedností</w:t>
      </w:r>
      <w:r w:rsidR="00C53164" w:rsidRPr="00797EA7">
        <w:rPr>
          <w:lang w:val="cs-CZ"/>
        </w:rPr>
        <w:t xml:space="preserve">. </w:t>
      </w:r>
      <w:r w:rsidRPr="00797EA7">
        <w:rPr>
          <w:lang w:val="cs-CZ"/>
        </w:rPr>
        <w:t xml:space="preserve">Při rozdělení podle zemí jsou výsledky </w:t>
      </w:r>
      <w:r w:rsidR="00D90F65" w:rsidRPr="00797EA7">
        <w:rPr>
          <w:lang w:val="cs-CZ"/>
        </w:rPr>
        <w:t xml:space="preserve">podobné </w:t>
      </w:r>
      <w:r w:rsidRPr="00797EA7">
        <w:rPr>
          <w:lang w:val="cs-CZ"/>
        </w:rPr>
        <w:t xml:space="preserve">(tabulka </w:t>
      </w:r>
      <w:r w:rsidR="00A301DF" w:rsidRPr="00797EA7">
        <w:rPr>
          <w:lang w:val="cs-CZ"/>
        </w:rPr>
        <w:t>13</w:t>
      </w:r>
      <w:r w:rsidRPr="00797EA7">
        <w:rPr>
          <w:lang w:val="cs-CZ"/>
        </w:rPr>
        <w:t>). V Belgii dosáhl nejvyššího průměrného skóre údaj "</w:t>
      </w:r>
      <w:r w:rsidR="009D21AD" w:rsidRPr="00797EA7">
        <w:rPr>
          <w:lang w:val="cs-CZ"/>
        </w:rPr>
        <w:t>kreativita" a "schopnost přizpůsobit se budoucím výzvám</w:t>
      </w:r>
      <w:r w:rsidRPr="00797EA7">
        <w:rPr>
          <w:lang w:val="cs-CZ"/>
        </w:rPr>
        <w:t>" (</w:t>
      </w:r>
      <w:r w:rsidR="009D21AD" w:rsidRPr="00797EA7">
        <w:rPr>
          <w:lang w:val="cs-CZ"/>
        </w:rPr>
        <w:t xml:space="preserve">oba na úrovni </w:t>
      </w:r>
      <w:r w:rsidRPr="00797EA7">
        <w:rPr>
          <w:lang w:val="cs-CZ"/>
        </w:rPr>
        <w:t>3,</w:t>
      </w:r>
      <w:r w:rsidR="009D21AD" w:rsidRPr="00797EA7">
        <w:rPr>
          <w:lang w:val="cs-CZ"/>
        </w:rPr>
        <w:t>89)</w:t>
      </w:r>
      <w:r w:rsidRPr="00797EA7">
        <w:rPr>
          <w:lang w:val="cs-CZ"/>
        </w:rPr>
        <w:t xml:space="preserve">. V Česku, </w:t>
      </w:r>
      <w:r w:rsidR="00D90F65" w:rsidRPr="00797EA7">
        <w:rPr>
          <w:lang w:val="cs-CZ"/>
        </w:rPr>
        <w:t xml:space="preserve">Řecku a Polsku to byl údaj </w:t>
      </w:r>
      <w:r w:rsidRPr="00797EA7">
        <w:rPr>
          <w:lang w:val="cs-CZ"/>
        </w:rPr>
        <w:t>"</w:t>
      </w:r>
      <w:r w:rsidR="00D90F65" w:rsidRPr="00797EA7">
        <w:rPr>
          <w:lang w:val="cs-CZ"/>
        </w:rPr>
        <w:t>povědomí o odolnosti" (3,5, 3,81 a 3,7)</w:t>
      </w:r>
      <w:r w:rsidRPr="00797EA7">
        <w:rPr>
          <w:lang w:val="cs-CZ"/>
        </w:rPr>
        <w:t xml:space="preserve">. 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30" w:name="_Toc107410718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A301DF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13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Funkční oblasti podniků související s potřebným rozšířením "zelených dovedností</w:t>
      </w:r>
      <w:bookmarkEnd w:id="30"/>
    </w:p>
    <w:tbl>
      <w:tblPr>
        <w:tblStyle w:val="Mkatabulky"/>
        <w:tblW w:w="8934" w:type="dxa"/>
        <w:tblLayout w:type="fixed"/>
        <w:tblLook w:val="04A0" w:firstRow="1" w:lastRow="0" w:firstColumn="1" w:lastColumn="0" w:noHBand="0" w:noVBand="1"/>
      </w:tblPr>
      <w:tblGrid>
        <w:gridCol w:w="993"/>
        <w:gridCol w:w="1004"/>
        <w:gridCol w:w="991"/>
        <w:gridCol w:w="1123"/>
        <w:gridCol w:w="992"/>
        <w:gridCol w:w="851"/>
        <w:gridCol w:w="850"/>
        <w:gridCol w:w="1138"/>
        <w:gridCol w:w="992"/>
      </w:tblGrid>
      <w:tr w:rsidR="000607E5" w:rsidRPr="00797EA7" w:rsidTr="00A46B5A"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607E5" w:rsidRPr="00797EA7" w:rsidRDefault="000607E5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inženýrské a technické dovednosti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vědecká gramotnost</w:t>
            </w: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provozní řízení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monitorování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designové myšlení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kreativita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schopnost přizpůsobit se budoucím výzvám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povědomí o odolnosti</w:t>
            </w:r>
          </w:p>
        </w:tc>
      </w:tr>
      <w:tr w:rsidR="000821C3" w:rsidRPr="00797EA7" w:rsidTr="00A46B5A"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Belgie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2.89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3.56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3.89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3.44</w:t>
            </w:r>
          </w:p>
        </w:tc>
      </w:tr>
      <w:tr w:rsidR="000821C3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Česko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2.63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3.50</w:t>
            </w:r>
          </w:p>
        </w:tc>
      </w:tr>
      <w:tr w:rsidR="000821C3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Řecko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3.81</w:t>
            </w:r>
          </w:p>
        </w:tc>
      </w:tr>
      <w:tr w:rsidR="000821C3" w:rsidRPr="00797EA7" w:rsidTr="00A46B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Polsko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3.70</w:t>
            </w:r>
          </w:p>
        </w:tc>
      </w:tr>
      <w:tr w:rsidR="000607E5" w:rsidRPr="00797EA7" w:rsidTr="00A46B5A"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right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Průměr</w:t>
            </w:r>
          </w:p>
          <w:p w:rsidR="00B04D89" w:rsidRPr="00797EA7" w:rsidRDefault="00A46B5A">
            <w:pPr>
              <w:ind w:left="0" w:firstLine="0"/>
              <w:jc w:val="right"/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Std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797EA7">
              <w:rPr>
                <w:i/>
                <w:iCs/>
                <w:sz w:val="20"/>
                <w:szCs w:val="20"/>
                <w:lang w:val="cs-CZ"/>
              </w:rPr>
              <w:t>dev</w:t>
            </w:r>
            <w:proofErr w:type="spellEnd"/>
            <w:r w:rsidRPr="00797EA7">
              <w:rPr>
                <w:i/>
                <w:iCs/>
                <w:sz w:val="20"/>
                <w:szCs w:val="20"/>
                <w:lang w:val="cs-CZ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2.</w:t>
            </w:r>
            <w:r w:rsidR="008D5649" w:rsidRPr="00797EA7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56</w:t>
            </w:r>
          </w:p>
          <w:p w:rsidR="00B04D89" w:rsidRPr="00797EA7" w:rsidRDefault="00A46B5A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sz w:val="20"/>
                <w:szCs w:val="20"/>
                <w:lang w:val="cs-CZ"/>
              </w:rPr>
              <w:t>1.</w:t>
            </w:r>
            <w:r w:rsidR="008D5649" w:rsidRPr="00797EA7">
              <w:rPr>
                <w:rFonts w:cstheme="minorHAnsi"/>
                <w:i/>
                <w:iCs/>
                <w:sz w:val="20"/>
                <w:szCs w:val="20"/>
                <w:lang w:val="cs-CZ"/>
              </w:rPr>
              <w:t>20</w:t>
            </w:r>
            <w:r w:rsidRPr="00797EA7">
              <w:rPr>
                <w:rFonts w:cstheme="minorHAnsi"/>
                <w:sz w:val="20"/>
                <w:szCs w:val="20"/>
                <w:lang w:val="cs-CZ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2.</w:t>
            </w:r>
            <w:r w:rsidR="008D5649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85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07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  <w:r w:rsidR="000607E5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96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02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  <w:r w:rsidR="000607E5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 xml:space="preserve">13 </w:t>
            </w:r>
            <w:r w:rsidR="000607E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0607E5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1.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09</w:t>
            </w:r>
            <w:r w:rsidR="000607E5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</w:t>
            </w:r>
            <w:r w:rsidR="008D5649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29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1.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08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3.38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1.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16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</w:t>
            </w:r>
            <w:r w:rsidR="008D5649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57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07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3.</w:t>
            </w:r>
            <w:r w:rsidR="008D5649" w:rsidRPr="00797EA7">
              <w:rPr>
                <w:rFonts w:cstheme="minorHAnsi"/>
                <w:b/>
                <w:bCs/>
                <w:color w:val="000000"/>
                <w:sz w:val="20"/>
                <w:szCs w:val="20"/>
                <w:lang w:val="cs-CZ"/>
              </w:rPr>
              <w:t>67</w:t>
            </w:r>
          </w:p>
          <w:p w:rsidR="00B04D89" w:rsidRPr="00797EA7" w:rsidRDefault="00A46B5A">
            <w:pPr>
              <w:jc w:val="center"/>
              <w:rPr>
                <w:rStyle w:val="normaltextrun"/>
                <w:rFonts w:cstheme="minorHAnsi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(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1</w:t>
            </w:r>
            <w:r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 w:rsidR="008D5649" w:rsidRPr="00797EA7">
              <w:rPr>
                <w:rFonts w:cstheme="minorHAnsi"/>
                <w:i/>
                <w:iCs/>
                <w:color w:val="000000"/>
                <w:sz w:val="20"/>
                <w:szCs w:val="20"/>
                <w:lang w:val="cs-CZ"/>
              </w:rPr>
              <w:t>08</w:t>
            </w: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)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Poznámka: V () - směrodatná odchylka</w:t>
      </w:r>
    </w:p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rFonts w:cstheme="minorHAnsi"/>
          <w:i/>
          <w:iCs/>
          <w:color w:val="000000" w:themeColor="text1"/>
          <w:highlight w:val="yellow"/>
          <w:lang w:val="cs-CZ"/>
        </w:rPr>
      </w:pPr>
      <w:r w:rsidRPr="00797EA7">
        <w:rPr>
          <w:lang w:val="cs-CZ"/>
        </w:rPr>
        <w:t xml:space="preserve">V odpovědi na otázku </w:t>
      </w:r>
      <w:r w:rsidR="00BD6F8E" w:rsidRPr="00797EA7">
        <w:rPr>
          <w:lang w:val="cs-CZ"/>
        </w:rPr>
        <w:t xml:space="preserve">týkající se </w:t>
      </w:r>
      <w:r w:rsidRPr="00797EA7">
        <w:rPr>
          <w:rFonts w:cstheme="minorHAnsi"/>
          <w:bCs/>
          <w:color w:val="000000" w:themeColor="text1"/>
          <w:lang w:val="cs-CZ"/>
        </w:rPr>
        <w:t xml:space="preserve">slabých stránek </w:t>
      </w:r>
      <w:r w:rsidR="00BD6F8E" w:rsidRPr="00797EA7">
        <w:rPr>
          <w:rFonts w:cstheme="minorHAnsi"/>
          <w:bCs/>
          <w:color w:val="000000" w:themeColor="text1"/>
          <w:lang w:val="cs-CZ"/>
        </w:rPr>
        <w:t xml:space="preserve">vnímaných z </w:t>
      </w:r>
      <w:r w:rsidRPr="00797EA7">
        <w:rPr>
          <w:rFonts w:cstheme="minorHAnsi"/>
          <w:bCs/>
          <w:color w:val="000000" w:themeColor="text1"/>
          <w:lang w:val="cs-CZ"/>
        </w:rPr>
        <w:t xml:space="preserve">hlediska zlepšování ekologických dovedností ve vzdělávacích programech dotazovaní </w:t>
      </w:r>
      <w:r w:rsidR="004B386F" w:rsidRPr="00797EA7">
        <w:rPr>
          <w:rFonts w:cstheme="minorHAnsi"/>
          <w:bCs/>
          <w:color w:val="000000" w:themeColor="text1"/>
          <w:lang w:val="cs-CZ"/>
        </w:rPr>
        <w:t xml:space="preserve">studenti </w:t>
      </w:r>
      <w:r w:rsidRPr="00797EA7">
        <w:rPr>
          <w:rFonts w:cstheme="minorHAnsi"/>
          <w:bCs/>
          <w:color w:val="000000" w:themeColor="text1"/>
          <w:lang w:val="cs-CZ"/>
        </w:rPr>
        <w:t xml:space="preserve">uvedli, že </w:t>
      </w:r>
      <w:r w:rsidRPr="00797EA7">
        <w:rPr>
          <w:lang w:val="cs-CZ"/>
        </w:rPr>
        <w:t xml:space="preserve">nejvýznamnější </w:t>
      </w:r>
      <w:r w:rsidRPr="00797EA7">
        <w:rPr>
          <w:lang w:val="cs-CZ"/>
        </w:rPr>
        <w:lastRenderedPageBreak/>
        <w:t xml:space="preserve">překážkou </w:t>
      </w:r>
      <w:r w:rsidR="00BD6F8E" w:rsidRPr="00797EA7">
        <w:rPr>
          <w:lang w:val="cs-CZ"/>
        </w:rPr>
        <w:t xml:space="preserve">je </w:t>
      </w:r>
      <w:r w:rsidR="004B386F" w:rsidRPr="00797EA7">
        <w:rPr>
          <w:lang w:val="cs-CZ"/>
        </w:rPr>
        <w:t>příliš mnoho teorie</w:t>
      </w:r>
      <w:r w:rsidRPr="00797EA7">
        <w:rPr>
          <w:lang w:val="cs-CZ"/>
        </w:rPr>
        <w:t xml:space="preserve">. Tuto slabinu </w:t>
      </w:r>
      <w:r w:rsidR="00BD6F8E" w:rsidRPr="00797EA7">
        <w:rPr>
          <w:lang w:val="cs-CZ"/>
        </w:rPr>
        <w:t xml:space="preserve">spatřovala </w:t>
      </w:r>
      <w:r w:rsidR="004B386F" w:rsidRPr="00797EA7">
        <w:rPr>
          <w:lang w:val="cs-CZ"/>
        </w:rPr>
        <w:t xml:space="preserve">téměř polovina studentů (49,6 %). Studenti </w:t>
      </w:r>
      <w:r w:rsidR="00BD6F8E" w:rsidRPr="00797EA7">
        <w:rPr>
          <w:rFonts w:cstheme="minorHAnsi"/>
          <w:color w:val="000000" w:themeColor="text1"/>
          <w:lang w:val="cs-CZ"/>
        </w:rPr>
        <w:t xml:space="preserve">si </w:t>
      </w:r>
      <w:r w:rsidR="004B386F" w:rsidRPr="00797EA7">
        <w:rPr>
          <w:rFonts w:cstheme="minorHAnsi"/>
          <w:color w:val="000000" w:themeColor="text1"/>
          <w:lang w:val="cs-CZ"/>
        </w:rPr>
        <w:t xml:space="preserve">také </w:t>
      </w:r>
      <w:r w:rsidR="00BD6F8E" w:rsidRPr="00797EA7">
        <w:rPr>
          <w:rFonts w:cstheme="minorHAnsi"/>
          <w:color w:val="000000" w:themeColor="text1"/>
          <w:lang w:val="cs-CZ"/>
        </w:rPr>
        <w:t xml:space="preserve">stěžovali na </w:t>
      </w:r>
      <w:r w:rsidR="004B386F" w:rsidRPr="00797EA7">
        <w:rPr>
          <w:rFonts w:cstheme="minorHAnsi"/>
          <w:color w:val="000000" w:themeColor="text1"/>
          <w:lang w:val="cs-CZ"/>
        </w:rPr>
        <w:t>nedostatečný počet případových studií (</w:t>
      </w:r>
      <w:r w:rsidR="00D72913" w:rsidRPr="00797EA7">
        <w:rPr>
          <w:rFonts w:cstheme="minorHAnsi"/>
          <w:color w:val="000000" w:themeColor="text1"/>
          <w:lang w:val="cs-CZ"/>
        </w:rPr>
        <w:t>34,04 %).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Studenti </w:t>
      </w:r>
      <w:r w:rsidR="00134327" w:rsidRPr="00797EA7">
        <w:rPr>
          <w:lang w:val="cs-CZ"/>
        </w:rPr>
        <w:t>uvedli studijní předměty, které nejvíce posílily jejich environmentální dovednosti. Ty většinou souvisely s podobnými předměty, které byly zmíněny dříve (při označování příležitostí k získání a rozvoji environmentálních dovedností). Tyto předměty mimo jiné zvyšovaly: povědomí o životním prostředí a jeho vlivu a změně chování, povědomí o inovacích a dobré praxi při aplikaci teorie na praktické příklady. Předměty ovlivnily změnu osobního zlepšení v oblasti udržitelného života, ukázaly, jak z ekologie udělat něco módního a elegantního, rozhodně ovlivnily zavádění environmentálních opatření do každodenního života studentů. Zvýšily také úroveň znalostí studentů o tomto tématu, uvědomili si rozsah problému a zvýšili jejich připravenost podniknout odpovídající kroky.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>Na otázku "</w:t>
      </w:r>
      <w:r w:rsidRPr="00797EA7">
        <w:rPr>
          <w:i/>
          <w:iCs/>
          <w:lang w:val="cs-CZ"/>
        </w:rPr>
        <w:t xml:space="preserve">Jaké předměty je ještě třeba zavést do studijního plánu, aby se zlepšily zelené dovednosti? </w:t>
      </w:r>
      <w:r w:rsidRPr="00797EA7">
        <w:rPr>
          <w:lang w:val="cs-CZ"/>
        </w:rPr>
        <w:t xml:space="preserve">' studenti uvedli, že by mělo být více praktických předmětů založených na skutečných případech. </w:t>
      </w:r>
      <w:bookmarkStart w:id="31" w:name="_Hlk109223421"/>
      <w:r w:rsidRPr="00797EA7">
        <w:rPr>
          <w:lang w:val="cs-CZ"/>
        </w:rPr>
        <w:t xml:space="preserve">Pouze v několika příkladech </w:t>
      </w:r>
      <w:r w:rsidR="0073044C" w:rsidRPr="00797EA7">
        <w:rPr>
          <w:lang w:val="cs-CZ"/>
        </w:rPr>
        <w:t xml:space="preserve">uvedli </w:t>
      </w:r>
      <w:r w:rsidRPr="00797EA7">
        <w:rPr>
          <w:lang w:val="cs-CZ"/>
        </w:rPr>
        <w:t>přesné názvy předmětů</w:t>
      </w:r>
      <w:bookmarkEnd w:id="31"/>
      <w:r w:rsidRPr="00797EA7">
        <w:rPr>
          <w:lang w:val="cs-CZ"/>
        </w:rPr>
        <w:t xml:space="preserve"> (např. "</w:t>
      </w:r>
      <w:r w:rsidRPr="00797EA7">
        <w:rPr>
          <w:i/>
          <w:iCs/>
          <w:lang w:val="cs-CZ"/>
        </w:rPr>
        <w:t>Aplikace ekologie v každodenním životě</w:t>
      </w:r>
      <w:r w:rsidRPr="00797EA7">
        <w:rPr>
          <w:lang w:val="cs-CZ"/>
        </w:rPr>
        <w:t>", "</w:t>
      </w:r>
      <w:r w:rsidR="007C6893" w:rsidRPr="00797EA7">
        <w:rPr>
          <w:i/>
          <w:iCs/>
          <w:lang w:val="cs-CZ"/>
        </w:rPr>
        <w:t xml:space="preserve">Ochrana životního prostředí" </w:t>
      </w:r>
      <w:r w:rsidR="007C6893" w:rsidRPr="00797EA7">
        <w:rPr>
          <w:lang w:val="cs-CZ"/>
        </w:rPr>
        <w:t>nebo "</w:t>
      </w:r>
      <w:r w:rsidRPr="00797EA7">
        <w:rPr>
          <w:i/>
          <w:iCs/>
          <w:lang w:val="cs-CZ"/>
        </w:rPr>
        <w:t>Jak správně recyklovat</w:t>
      </w:r>
      <w:r w:rsidRPr="00797EA7">
        <w:rPr>
          <w:lang w:val="cs-CZ"/>
        </w:rPr>
        <w:t xml:space="preserve">"). </w:t>
      </w:r>
      <w:r w:rsidR="00030699" w:rsidRPr="00797EA7">
        <w:rPr>
          <w:lang w:val="cs-CZ"/>
        </w:rPr>
        <w:t xml:space="preserve">Nejdůležitějším údajem v tomto případě bylo, že navrhované předměty by měly být založeny na analýze skutečných případů (např. ze skandinávských nebo anglosaských zemí). </w:t>
      </w:r>
    </w:p>
    <w:p w:rsidR="00AB1366" w:rsidRPr="00797EA7" w:rsidRDefault="00AB1366" w:rsidP="008149CD">
      <w:pPr>
        <w:spacing w:before="120" w:after="120"/>
        <w:jc w:val="both"/>
        <w:rPr>
          <w:rFonts w:cstheme="minorHAnsi"/>
          <w:lang w:val="cs-CZ"/>
        </w:rPr>
      </w:pPr>
    </w:p>
    <w:p w:rsidR="00B04D89" w:rsidRPr="00797EA7" w:rsidRDefault="00A46B5A">
      <w:pPr>
        <w:pStyle w:val="paragraph"/>
        <w:numPr>
          <w:ilvl w:val="1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  <w:t>Analýza napříč skupinami</w:t>
      </w:r>
    </w:p>
    <w:p w:rsidR="007B71F3" w:rsidRPr="00797EA7" w:rsidRDefault="007B71F3" w:rsidP="008149CD">
      <w:pPr>
        <w:spacing w:before="120" w:after="120"/>
        <w:jc w:val="both"/>
        <w:rPr>
          <w:rFonts w:cstheme="minorHAnsi"/>
          <w:lang w:val="cs-CZ"/>
        </w:rPr>
      </w:pP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Při analýze </w:t>
      </w:r>
      <w:r w:rsidR="00EB7873" w:rsidRPr="00797EA7">
        <w:rPr>
          <w:rFonts w:cstheme="minorHAnsi"/>
          <w:lang w:val="cs-CZ"/>
        </w:rPr>
        <w:t xml:space="preserve">možných podobností nebo rozdílů mezi cílovými skupinami se autoři rozhodli porovnat výsledky </w:t>
      </w:r>
      <w:r w:rsidRPr="00797EA7">
        <w:rPr>
          <w:rFonts w:cstheme="minorHAnsi"/>
          <w:lang w:val="cs-CZ"/>
        </w:rPr>
        <w:t>otázek společných pro všechny tři skupiny</w:t>
      </w:r>
      <w:r w:rsidR="00EB7873" w:rsidRPr="00797EA7">
        <w:rPr>
          <w:rFonts w:cstheme="minorHAnsi"/>
          <w:lang w:val="cs-CZ"/>
        </w:rPr>
        <w:t xml:space="preserve">. V průzkumu bylo 6 takových otázek. První z nich se týkala znalosti pojmu "zelené dovednosti". V </w:t>
      </w:r>
      <w:r w:rsidR="00F923C4" w:rsidRPr="00797EA7">
        <w:rPr>
          <w:rFonts w:cstheme="minorHAnsi"/>
          <w:lang w:val="cs-CZ"/>
        </w:rPr>
        <w:t xml:space="preserve">tabulce </w:t>
      </w:r>
      <w:r w:rsidR="00A301DF" w:rsidRPr="00797EA7">
        <w:rPr>
          <w:rFonts w:cstheme="minorHAnsi"/>
          <w:lang w:val="cs-CZ"/>
        </w:rPr>
        <w:t xml:space="preserve">14 </w:t>
      </w:r>
      <w:r w:rsidR="00EB7873" w:rsidRPr="00797EA7">
        <w:rPr>
          <w:rFonts w:cstheme="minorHAnsi"/>
          <w:lang w:val="cs-CZ"/>
        </w:rPr>
        <w:t xml:space="preserve">jsou uvedeny výsledky </w:t>
      </w:r>
      <w:r w:rsidR="005B7DAA" w:rsidRPr="00797EA7">
        <w:rPr>
          <w:rFonts w:cstheme="minorHAnsi"/>
          <w:lang w:val="cs-CZ"/>
        </w:rPr>
        <w:t>ve</w:t>
      </w:r>
      <w:r w:rsidR="00EB7873" w:rsidRPr="00797EA7">
        <w:rPr>
          <w:rFonts w:cstheme="minorHAnsi"/>
          <w:lang w:val="cs-CZ"/>
        </w:rPr>
        <w:t xml:space="preserve"> formě četnosti </w:t>
      </w:r>
      <w:r w:rsidR="00907F46" w:rsidRPr="00797EA7">
        <w:rPr>
          <w:rFonts w:cstheme="minorHAnsi"/>
          <w:lang w:val="cs-CZ"/>
        </w:rPr>
        <w:t>daných odpovědí: "ano", "ne" a "nevím".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32" w:name="_Toc107410750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A301DF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14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. </w:t>
      </w:r>
      <w:r w:rsidR="004F451B" w:rsidRPr="00797EA7">
        <w:rPr>
          <w:i w:val="0"/>
          <w:iCs w:val="0"/>
          <w:color w:val="auto"/>
          <w:sz w:val="24"/>
          <w:szCs w:val="24"/>
          <w:lang w:val="cs-CZ"/>
        </w:rPr>
        <w:t>Znalost pojmu "zelené dovednosti" mezi cílovými skupinami</w:t>
      </w:r>
      <w:bookmarkEnd w:id="32"/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[v %]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2598"/>
        <w:gridCol w:w="2599"/>
        <w:gridCol w:w="2599"/>
      </w:tblGrid>
      <w:tr w:rsidR="00F923C4" w:rsidRPr="00797EA7" w:rsidTr="00A46B5A"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F923C4" w:rsidRPr="00797EA7" w:rsidRDefault="00F923C4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59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Ano</w:t>
            </w:r>
          </w:p>
        </w:tc>
        <w:tc>
          <w:tcPr>
            <w:tcW w:w="25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Ne</w:t>
            </w:r>
          </w:p>
        </w:tc>
        <w:tc>
          <w:tcPr>
            <w:tcW w:w="25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Nevím.</w:t>
            </w:r>
          </w:p>
        </w:tc>
      </w:tr>
      <w:tr w:rsidR="00F923C4" w:rsidRPr="00797EA7" w:rsidTr="00A46B5A"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40091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SEE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65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23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11</w:t>
            </w:r>
          </w:p>
        </w:tc>
      </w:tr>
      <w:tr w:rsidR="00F923C4" w:rsidRPr="00797EA7" w:rsidTr="00A46B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Učitelé vysokých škol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12</w:t>
            </w:r>
          </w:p>
        </w:tc>
      </w:tr>
      <w:tr w:rsidR="00F923C4" w:rsidRPr="00797EA7" w:rsidTr="00A46B5A"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Studenti.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26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Nejvyšší úroveň znalostí o "zelených dovednostech" byla zaznamenána u zástupců SEE (65 %). Nejnižší pak mezi studenty (34 %). Studenti byli v této otázce také nejvíce nerozhodní (26 % z nich neví, zda jsou seznámeni s pojmem "zelené dovednosti"). </w:t>
      </w:r>
      <w:r w:rsidR="00A66635" w:rsidRPr="00797EA7">
        <w:rPr>
          <w:rFonts w:cstheme="minorHAnsi"/>
          <w:lang w:val="cs-CZ"/>
        </w:rPr>
        <w:t>Mezi cílovými skupinami je statisticky významný rozdíl. Test nezávislosti Chi</w:t>
      </w:r>
      <w:proofErr w:type="gramStart"/>
      <w:r w:rsidR="00A66635" w:rsidRPr="00797EA7">
        <w:rPr>
          <w:rFonts w:cstheme="minorHAnsi"/>
          <w:vertAlign w:val="superscript"/>
          <w:lang w:val="cs-CZ"/>
        </w:rPr>
        <w:t xml:space="preserve">2 </w:t>
      </w:r>
      <w:r w:rsidR="00A66635" w:rsidRPr="00797EA7">
        <w:rPr>
          <w:rFonts w:cstheme="minorHAnsi"/>
          <w:lang w:val="cs-CZ"/>
        </w:rPr>
        <w:t xml:space="preserve"> </w:t>
      </w:r>
      <w:proofErr w:type="spellStart"/>
      <w:r w:rsidR="00A66635" w:rsidRPr="00797EA7">
        <w:rPr>
          <w:rFonts w:cstheme="minorHAnsi"/>
          <w:lang w:val="cs-CZ"/>
        </w:rPr>
        <w:t>Pearsonsův</w:t>
      </w:r>
      <w:proofErr w:type="spellEnd"/>
      <w:proofErr w:type="gramEnd"/>
      <w:r w:rsidR="00A66635" w:rsidRPr="00797EA7">
        <w:rPr>
          <w:rFonts w:cstheme="minorHAnsi"/>
          <w:lang w:val="cs-CZ"/>
        </w:rPr>
        <w:t xml:space="preserve"> test potvrdil alternativní hypotézu</w:t>
      </w:r>
      <w:r w:rsidR="00451C06" w:rsidRPr="00797EA7">
        <w:rPr>
          <w:rStyle w:val="Znakapoznpodarou"/>
          <w:rFonts w:cstheme="minorHAnsi"/>
          <w:lang w:val="cs-CZ"/>
        </w:rPr>
        <w:footnoteReference w:id="6"/>
      </w:r>
      <w:r w:rsidR="00A66635" w:rsidRPr="00797EA7">
        <w:rPr>
          <w:rFonts w:cstheme="minorHAnsi"/>
          <w:lang w:val="cs-CZ"/>
        </w:rPr>
        <w:t xml:space="preserve"> (</w:t>
      </w:r>
      <w:r w:rsidR="00A66635" w:rsidRPr="00797EA7">
        <w:rPr>
          <w:rFonts w:cstheme="minorHAnsi"/>
          <w:i/>
          <w:iCs/>
          <w:lang w:val="cs-CZ"/>
        </w:rPr>
        <w:t>p=0</w:t>
      </w:r>
      <w:r w:rsidR="00A66635" w:rsidRPr="00797EA7">
        <w:rPr>
          <w:rFonts w:cstheme="minorHAnsi"/>
          <w:lang w:val="cs-CZ"/>
        </w:rPr>
        <w:t>,00019).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33" w:name="_Toc107410751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br w:type="colum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lastRenderedPageBreak/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A301DF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15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. </w:t>
      </w:r>
      <w:r w:rsidRPr="00797EA7">
        <w:rPr>
          <w:rFonts w:cstheme="minorHAnsi"/>
          <w:i w:val="0"/>
          <w:iCs w:val="0"/>
          <w:color w:val="auto"/>
          <w:sz w:val="24"/>
          <w:szCs w:val="24"/>
          <w:lang w:val="cs-CZ"/>
        </w:rPr>
        <w:t>Identifikace pojmu "zelené dovednosti" mezi cílovými skupinami [v %]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844"/>
        <w:gridCol w:w="1135"/>
        <w:gridCol w:w="884"/>
        <w:gridCol w:w="1531"/>
        <w:gridCol w:w="993"/>
        <w:gridCol w:w="2409"/>
      </w:tblGrid>
      <w:tr w:rsidR="002C1C4A" w:rsidRPr="00797EA7" w:rsidTr="00A56D6B"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2C1C4A" w:rsidRPr="00797EA7" w:rsidRDefault="002C1C4A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nízkouhlíkové hospodářství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přechod na oběhové hospodářství (uzavřená ekonomika).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boj proti změně klimatu</w:t>
            </w:r>
          </w:p>
        </w:tc>
        <w:tc>
          <w:tcPr>
            <w:tcW w:w="153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nová hospodářská odvětví šetrná k životnímu prostředí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zelené produkty/služby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lang w:val="cs-CZ"/>
              </w:rPr>
              <w:t>znalosti, schopnosti, hodnoty a postoje potřebné k rozvoji a podpoře společnosti, která snižuje dopad lidských činností na životní prostředí.</w:t>
            </w:r>
          </w:p>
        </w:tc>
      </w:tr>
      <w:tr w:rsidR="00A56D6B" w:rsidRPr="00797EA7" w:rsidTr="00A56D6B"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40091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SEE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65</w:t>
            </w:r>
          </w:p>
        </w:tc>
      </w:tr>
      <w:tr w:rsidR="00A56D6B" w:rsidRPr="00797EA7" w:rsidTr="00A56D6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Učitelé vysokých škol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82</w:t>
            </w:r>
          </w:p>
        </w:tc>
      </w:tr>
      <w:tr w:rsidR="00A56D6B" w:rsidRPr="00797EA7" w:rsidTr="00A56D6B"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Studenti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center"/>
              <w:rPr>
                <w:sz w:val="20"/>
                <w:szCs w:val="20"/>
                <w:lang w:val="cs-CZ"/>
              </w:rPr>
            </w:pPr>
            <w:r w:rsidRPr="00797EA7">
              <w:rPr>
                <w:sz w:val="20"/>
                <w:szCs w:val="20"/>
                <w:lang w:val="cs-CZ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70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bookmarkEnd w:id="33"/>
    <w:p w:rsidR="00B04D89" w:rsidRPr="00797EA7" w:rsidRDefault="00A46B5A">
      <w:pPr>
        <w:spacing w:after="200"/>
        <w:jc w:val="both"/>
        <w:rPr>
          <w:rFonts w:cstheme="minorHAnsi"/>
          <w:lang w:val="cs-CZ"/>
        </w:rPr>
      </w:pPr>
      <w:r w:rsidRPr="00797EA7">
        <w:rPr>
          <w:lang w:val="cs-CZ"/>
        </w:rPr>
        <w:t xml:space="preserve">Tabulka </w:t>
      </w:r>
      <w:r w:rsidR="00A301DF" w:rsidRPr="00797EA7">
        <w:rPr>
          <w:lang w:val="cs-CZ"/>
        </w:rPr>
        <w:t xml:space="preserve">15 </w:t>
      </w:r>
      <w:r w:rsidR="005B1D62" w:rsidRPr="00797EA7">
        <w:rPr>
          <w:lang w:val="cs-CZ"/>
        </w:rPr>
        <w:t xml:space="preserve">uvádí identifikaci pojmu "zelené dovednosti". Respondenti se v chápání tohoto pojmu spíše shodovali. Ve všech třech skupinách se nejdůležitější chápání týkalo posledního popisu: "znalosti, schopnosti </w:t>
      </w:r>
      <w:r w:rsidR="0057241B" w:rsidRPr="00797EA7">
        <w:rPr>
          <w:lang w:val="cs-CZ"/>
        </w:rPr>
        <w:t xml:space="preserve">hodnoty a postoje potřebné k rozvoji a podpoře společnosti, která snižuje dopad lidských činností na životní prostředí". Tuto odpověď preferovali především učitelé (82 %). </w:t>
      </w:r>
      <w:r w:rsidR="0057241B" w:rsidRPr="00797EA7">
        <w:rPr>
          <w:rFonts w:cstheme="minorHAnsi"/>
          <w:lang w:val="cs-CZ"/>
        </w:rPr>
        <w:t>Pomocí testu nezávislosti Chi</w:t>
      </w:r>
      <w:proofErr w:type="gramStart"/>
      <w:r w:rsidR="0057241B" w:rsidRPr="00797EA7">
        <w:rPr>
          <w:rFonts w:cstheme="minorHAnsi"/>
          <w:vertAlign w:val="superscript"/>
          <w:lang w:val="cs-CZ"/>
        </w:rPr>
        <w:t xml:space="preserve">2 </w:t>
      </w:r>
      <w:r w:rsidR="0057241B" w:rsidRPr="00797EA7">
        <w:rPr>
          <w:rFonts w:cstheme="minorHAnsi"/>
          <w:lang w:val="cs-CZ"/>
        </w:rPr>
        <w:t xml:space="preserve"> </w:t>
      </w:r>
      <w:proofErr w:type="spellStart"/>
      <w:r w:rsidR="0057241B" w:rsidRPr="00797EA7">
        <w:rPr>
          <w:rFonts w:cstheme="minorHAnsi"/>
          <w:lang w:val="cs-CZ"/>
        </w:rPr>
        <w:t>Pearsonsova</w:t>
      </w:r>
      <w:proofErr w:type="spellEnd"/>
      <w:proofErr w:type="gramEnd"/>
      <w:r w:rsidR="0057241B" w:rsidRPr="00797EA7">
        <w:rPr>
          <w:rFonts w:cstheme="minorHAnsi"/>
          <w:lang w:val="cs-CZ"/>
        </w:rPr>
        <w:t xml:space="preserve"> testu si autoři mohli všimnout, že mezi cílovými skupinami existuje statisticky významný rozdíl </w:t>
      </w:r>
      <w:r w:rsidR="0073044C" w:rsidRPr="00797EA7">
        <w:rPr>
          <w:rFonts w:cstheme="minorHAnsi"/>
          <w:lang w:val="cs-CZ"/>
        </w:rPr>
        <w:t xml:space="preserve">týkající se </w:t>
      </w:r>
      <w:r w:rsidR="0057241B" w:rsidRPr="00797EA7">
        <w:rPr>
          <w:rFonts w:cstheme="minorHAnsi"/>
          <w:lang w:val="cs-CZ"/>
        </w:rPr>
        <w:t>jedné dimenze: "přechod na oběhové hospodářství (hospodářství s uzavřeným cyklem)" (</w:t>
      </w:r>
      <w:r w:rsidR="0057241B" w:rsidRPr="00797EA7">
        <w:rPr>
          <w:rFonts w:cstheme="minorHAnsi"/>
          <w:i/>
          <w:iCs/>
          <w:lang w:val="cs-CZ"/>
        </w:rPr>
        <w:t>p=0</w:t>
      </w:r>
      <w:r w:rsidR="0057241B" w:rsidRPr="00797EA7">
        <w:rPr>
          <w:rFonts w:cstheme="minorHAnsi"/>
          <w:lang w:val="cs-CZ"/>
        </w:rPr>
        <w:t>,04073).</w:t>
      </w:r>
    </w:p>
    <w:p w:rsidR="00B04D89" w:rsidRPr="00797EA7" w:rsidRDefault="00A46B5A">
      <w:pPr>
        <w:jc w:val="both"/>
        <w:rPr>
          <w:rFonts w:cstheme="minorHAnsi"/>
          <w:lang w:val="cs-CZ"/>
        </w:rPr>
      </w:pPr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i/>
          <w:i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i/>
          <w:iCs/>
          <w:lang w:val="cs-CZ"/>
        </w:rPr>
        <w:fldChar w:fldCharType="separate"/>
      </w:r>
      <w:r w:rsidR="00A301DF" w:rsidRPr="00797EA7">
        <w:rPr>
          <w:b/>
          <w:bCs/>
          <w:noProof/>
          <w:lang w:val="cs-CZ"/>
        </w:rPr>
        <w:t>16</w:t>
      </w:r>
      <w:r w:rsidRPr="00797EA7">
        <w:rPr>
          <w:b/>
          <w:bCs/>
          <w:i/>
          <w:iCs/>
          <w:lang w:val="cs-CZ"/>
        </w:rPr>
        <w:fldChar w:fldCharType="end"/>
      </w:r>
      <w:r w:rsidRPr="00797EA7">
        <w:rPr>
          <w:b/>
          <w:bCs/>
          <w:lang w:val="cs-CZ"/>
        </w:rPr>
        <w:t xml:space="preserve">. </w:t>
      </w:r>
      <w:r w:rsidRPr="00797EA7">
        <w:rPr>
          <w:rFonts w:cstheme="minorHAnsi"/>
          <w:lang w:val="cs-CZ"/>
        </w:rPr>
        <w:t>Zdroje, ze kterých pochází pojem "zelené dovednosti</w:t>
      </w:r>
    </w:p>
    <w:tbl>
      <w:tblPr>
        <w:tblStyle w:val="Mkatabulky"/>
        <w:tblW w:w="9287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52"/>
        <w:gridCol w:w="1258"/>
        <w:gridCol w:w="1152"/>
        <w:gridCol w:w="1152"/>
        <w:gridCol w:w="1152"/>
        <w:gridCol w:w="1153"/>
      </w:tblGrid>
      <w:tr w:rsidR="002E5096" w:rsidRPr="00797EA7" w:rsidTr="001A5B55"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2E5096" w:rsidRPr="00797EA7" w:rsidRDefault="002E5096" w:rsidP="001A5B55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studijní program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vědecké práce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akademické konference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tisk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sociální média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televize</w:t>
            </w: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další</w:t>
            </w:r>
          </w:p>
        </w:tc>
      </w:tr>
      <w:tr w:rsidR="002E5096" w:rsidRPr="00797EA7" w:rsidTr="001A5B55"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40091A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SEE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15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1A5B55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28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16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21</w:t>
            </w:r>
          </w:p>
        </w:tc>
      </w:tr>
      <w:tr w:rsidR="002E5096" w:rsidRPr="00797EA7" w:rsidTr="001A5B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Učitelé vysokých škol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1A5B55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 xml:space="preserve">. </w:t>
            </w:r>
            <w:r w:rsidR="001A5B55"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1A5B55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12</w:t>
            </w:r>
          </w:p>
        </w:tc>
      </w:tr>
      <w:tr w:rsidR="002E5096" w:rsidRPr="00797EA7" w:rsidTr="001A5B55"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jc w:val="both"/>
        <w:rPr>
          <w:rFonts w:cstheme="minorHAnsi"/>
          <w:i/>
          <w:iCs/>
          <w:lang w:val="cs-CZ"/>
        </w:rPr>
      </w:pPr>
      <w:r w:rsidRPr="00797EA7">
        <w:rPr>
          <w:lang w:val="cs-CZ"/>
        </w:rPr>
        <w:t xml:space="preserve">Zdroje pojmu "zelené dovednosti" se v jednotlivých skupinách lišily. Shodli se na míře relevance dvou z uvedených </w:t>
      </w:r>
      <w:proofErr w:type="gramStart"/>
      <w:r w:rsidRPr="00797EA7">
        <w:rPr>
          <w:lang w:val="cs-CZ"/>
        </w:rPr>
        <w:t>médií:  "</w:t>
      </w:r>
      <w:proofErr w:type="gramEnd"/>
      <w:r w:rsidRPr="00797EA7">
        <w:rPr>
          <w:lang w:val="cs-CZ"/>
        </w:rPr>
        <w:t xml:space="preserve">sociální média" (jako důležitá) a "televize" (jako nedůležitá). </w:t>
      </w:r>
      <w:r w:rsidRPr="00797EA7">
        <w:rPr>
          <w:rFonts w:cstheme="minorHAnsi"/>
          <w:lang w:val="cs-CZ"/>
        </w:rPr>
        <w:t>Test nezávislosti Chi</w:t>
      </w:r>
      <w:proofErr w:type="gramStart"/>
      <w:r w:rsidRPr="00797EA7">
        <w:rPr>
          <w:rFonts w:cstheme="minorHAnsi"/>
          <w:vertAlign w:val="superscript"/>
          <w:lang w:val="cs-CZ"/>
        </w:rPr>
        <w:t xml:space="preserve">2 </w:t>
      </w:r>
      <w:r w:rsidRPr="00797EA7">
        <w:rPr>
          <w:rFonts w:cstheme="minorHAnsi"/>
          <w:lang w:val="cs-CZ"/>
        </w:rPr>
        <w:t xml:space="preserve"> </w:t>
      </w:r>
      <w:proofErr w:type="spellStart"/>
      <w:r w:rsidRPr="00797EA7">
        <w:rPr>
          <w:rFonts w:cstheme="minorHAnsi"/>
          <w:lang w:val="cs-CZ"/>
        </w:rPr>
        <w:t>Pearsons</w:t>
      </w:r>
      <w:proofErr w:type="spellEnd"/>
      <w:proofErr w:type="gramEnd"/>
      <w:r w:rsidRPr="00797EA7">
        <w:rPr>
          <w:rFonts w:cstheme="minorHAnsi"/>
          <w:lang w:val="cs-CZ"/>
        </w:rPr>
        <w:t xml:space="preserve"> neprokázal žádný rozdíl mezi skupinami (</w:t>
      </w:r>
      <w:r w:rsidRPr="00797EA7">
        <w:rPr>
          <w:rFonts w:cstheme="minorHAnsi"/>
          <w:i/>
          <w:iCs/>
          <w:lang w:val="cs-CZ"/>
        </w:rPr>
        <w:t>p=0</w:t>
      </w:r>
      <w:r w:rsidRPr="00797EA7">
        <w:rPr>
          <w:rFonts w:cstheme="minorHAnsi"/>
          <w:lang w:val="cs-CZ"/>
        </w:rPr>
        <w:t xml:space="preserve">,94849 pro "sociální média" a </w:t>
      </w:r>
      <w:r w:rsidRPr="00797EA7">
        <w:rPr>
          <w:rFonts w:cstheme="minorHAnsi"/>
          <w:i/>
          <w:iCs/>
          <w:lang w:val="cs-CZ"/>
        </w:rPr>
        <w:t>p=0</w:t>
      </w:r>
      <w:r w:rsidRPr="00797EA7">
        <w:rPr>
          <w:rFonts w:cstheme="minorHAnsi"/>
          <w:lang w:val="cs-CZ"/>
        </w:rPr>
        <w:t xml:space="preserve">,86338 </w:t>
      </w:r>
      <w:r w:rsidR="001D1024" w:rsidRPr="00797EA7">
        <w:rPr>
          <w:rFonts w:cstheme="minorHAnsi"/>
          <w:lang w:val="cs-CZ"/>
        </w:rPr>
        <w:t>pro "televizi")</w:t>
      </w:r>
      <w:r w:rsidRPr="00797EA7">
        <w:rPr>
          <w:rFonts w:cstheme="minorHAnsi"/>
          <w:lang w:val="cs-CZ"/>
        </w:rPr>
        <w:t xml:space="preserve">. V </w:t>
      </w:r>
      <w:r w:rsidR="001D1024" w:rsidRPr="00797EA7">
        <w:rPr>
          <w:rFonts w:cstheme="minorHAnsi"/>
          <w:lang w:val="cs-CZ"/>
        </w:rPr>
        <w:t xml:space="preserve">ostatních případech byly mezi skupinami statisticky významné rozdíly: </w:t>
      </w:r>
    </w:p>
    <w:p w:rsidR="00B04D89" w:rsidRPr="00797EA7" w:rsidRDefault="00A46B5A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 w:rsidRPr="00797EA7">
        <w:rPr>
          <w:rFonts w:cstheme="minorHAnsi"/>
          <w:i/>
          <w:iCs/>
          <w:lang w:val="cs-CZ"/>
        </w:rPr>
        <w:t>p=0</w:t>
      </w:r>
      <w:r w:rsidRPr="00797EA7">
        <w:rPr>
          <w:rFonts w:cstheme="minorHAnsi"/>
          <w:lang w:val="cs-CZ"/>
        </w:rPr>
        <w:t>,00005 pro "studijní program"</w:t>
      </w:r>
      <w:r w:rsidR="00805401" w:rsidRPr="00797EA7">
        <w:rPr>
          <w:rFonts w:cstheme="minorHAnsi"/>
          <w:lang w:val="cs-CZ"/>
        </w:rPr>
        <w:t>,</w:t>
      </w:r>
    </w:p>
    <w:p w:rsidR="00B04D89" w:rsidRPr="00797EA7" w:rsidRDefault="00A46B5A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 w:rsidRPr="00797EA7">
        <w:rPr>
          <w:i/>
          <w:iCs/>
          <w:lang w:val="cs-CZ"/>
        </w:rPr>
        <w:t>p=0</w:t>
      </w:r>
      <w:r w:rsidRPr="00797EA7">
        <w:rPr>
          <w:lang w:val="cs-CZ"/>
        </w:rPr>
        <w:t>,00321 pro "vědecké práce</w:t>
      </w:r>
      <w:r w:rsidR="00805401" w:rsidRPr="00797EA7">
        <w:rPr>
          <w:lang w:val="cs-CZ"/>
        </w:rPr>
        <w:t>",</w:t>
      </w:r>
    </w:p>
    <w:p w:rsidR="00B04D89" w:rsidRPr="00797EA7" w:rsidRDefault="00A46B5A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 w:rsidRPr="00797EA7">
        <w:rPr>
          <w:i/>
          <w:iCs/>
          <w:lang w:val="cs-CZ"/>
        </w:rPr>
        <w:t>p=0</w:t>
      </w:r>
      <w:r w:rsidRPr="00797EA7">
        <w:rPr>
          <w:lang w:val="cs-CZ"/>
        </w:rPr>
        <w:t>,01071 pro "akademické konference</w:t>
      </w:r>
      <w:r w:rsidR="00805401" w:rsidRPr="00797EA7">
        <w:rPr>
          <w:lang w:val="cs-CZ"/>
        </w:rPr>
        <w:t>",</w:t>
      </w:r>
    </w:p>
    <w:p w:rsidR="00B04D89" w:rsidRPr="00797EA7" w:rsidRDefault="00A46B5A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lang w:val="cs-CZ"/>
        </w:rPr>
      </w:pPr>
      <w:r w:rsidRPr="00797EA7">
        <w:rPr>
          <w:i/>
          <w:iCs/>
          <w:lang w:val="cs-CZ"/>
        </w:rPr>
        <w:t>p=0</w:t>
      </w:r>
      <w:r w:rsidRPr="00797EA7">
        <w:rPr>
          <w:lang w:val="cs-CZ"/>
        </w:rPr>
        <w:t>,01547 pro "</w:t>
      </w:r>
      <w:proofErr w:type="spellStart"/>
      <w:r w:rsidRPr="00797EA7">
        <w:rPr>
          <w:lang w:val="cs-CZ"/>
        </w:rPr>
        <w:t>press</w:t>
      </w:r>
      <w:proofErr w:type="spellEnd"/>
      <w:r w:rsidRPr="00797EA7">
        <w:rPr>
          <w:lang w:val="cs-CZ"/>
        </w:rPr>
        <w:t>".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i/>
          <w:i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i/>
          <w:iCs/>
          <w:lang w:val="cs-CZ"/>
        </w:rPr>
        <w:fldChar w:fldCharType="separate"/>
      </w:r>
      <w:r w:rsidR="00A301DF" w:rsidRPr="00797EA7">
        <w:rPr>
          <w:b/>
          <w:bCs/>
          <w:noProof/>
          <w:lang w:val="cs-CZ"/>
        </w:rPr>
        <w:t>17</w:t>
      </w:r>
      <w:r w:rsidRPr="00797EA7">
        <w:rPr>
          <w:b/>
          <w:bCs/>
          <w:i/>
          <w:iCs/>
          <w:lang w:val="cs-CZ"/>
        </w:rPr>
        <w:fldChar w:fldCharType="end"/>
      </w:r>
      <w:r w:rsidRPr="00797EA7">
        <w:rPr>
          <w:b/>
          <w:bCs/>
          <w:lang w:val="cs-CZ"/>
        </w:rPr>
        <w:t xml:space="preserve">. </w:t>
      </w:r>
      <w:r w:rsidR="00F35F9D" w:rsidRPr="00797EA7">
        <w:rPr>
          <w:lang w:val="cs-CZ"/>
        </w:rPr>
        <w:t>Znalost pojmu "oběhové hospodářství" mezi cílovými skupinami [v %]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559"/>
        <w:gridCol w:w="1559"/>
        <w:gridCol w:w="1560"/>
      </w:tblGrid>
      <w:tr w:rsidR="00DD1200" w:rsidRPr="00797EA7" w:rsidTr="00DD1200"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D1200" w:rsidRPr="00797EA7" w:rsidRDefault="00DD1200" w:rsidP="00A46B5A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Snížení množství odpadu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Opětovné využití přírodních zdrojů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 xml:space="preserve">Recyklace a využití materiálů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Izoluje národní hospodářství od ostatních ekonomik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28" w:hanging="9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lang w:val="cs-CZ"/>
              </w:rPr>
              <w:t>Používejte pouze to, co již bylo ve výrobcích použito</w:t>
            </w:r>
          </w:p>
        </w:tc>
      </w:tr>
      <w:tr w:rsidR="00DD1200" w:rsidRPr="00797EA7" w:rsidTr="00DD1200"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40091A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lastRenderedPageBreak/>
              <w:t>SEE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79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15</w:t>
            </w:r>
          </w:p>
        </w:tc>
      </w:tr>
      <w:tr w:rsidR="00DD1200" w:rsidRPr="00797EA7" w:rsidTr="00DD120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Učitelé vysokých škol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15</w:t>
            </w:r>
          </w:p>
        </w:tc>
      </w:tr>
      <w:tr w:rsidR="00DD1200" w:rsidRPr="00797EA7" w:rsidTr="00DD1200"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42" w:hanging="42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Studenti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sz w:val="20"/>
                <w:szCs w:val="20"/>
                <w:lang w:val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21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jc w:val="both"/>
        <w:rPr>
          <w:lang w:val="cs-CZ"/>
        </w:rPr>
      </w:pPr>
      <w:r w:rsidRPr="00797EA7">
        <w:rPr>
          <w:b/>
          <w:bCs/>
          <w:lang w:val="cs-CZ"/>
        </w:rPr>
        <w:br w:type="column"/>
      </w:r>
      <w:r w:rsidRPr="00797EA7">
        <w:rPr>
          <w:lang w:val="cs-CZ"/>
        </w:rPr>
        <w:lastRenderedPageBreak/>
        <w:t xml:space="preserve">Pro respondenty z cílových skupin byla nejznámější definice "oběhového hospodářství" jako "recyklace a využití materiálů ve výrobních, distribučních nebo spotřebních procesech" </w:t>
      </w:r>
      <w:r w:rsidR="00FA4D46" w:rsidRPr="00797EA7">
        <w:rPr>
          <w:lang w:val="cs-CZ"/>
        </w:rPr>
        <w:t>(</w:t>
      </w:r>
      <w:r w:rsidR="003D17EB" w:rsidRPr="00797EA7">
        <w:rPr>
          <w:lang w:val="cs-CZ"/>
        </w:rPr>
        <w:t>tabulka 19)</w:t>
      </w:r>
      <w:r w:rsidRPr="00797EA7">
        <w:rPr>
          <w:lang w:val="cs-CZ"/>
        </w:rPr>
        <w:t xml:space="preserve">. Tuto odpověď zvolilo více než 70 % respondentů z každé skupiny. </w:t>
      </w:r>
      <w:r w:rsidR="006303F9" w:rsidRPr="00797EA7">
        <w:rPr>
          <w:lang w:val="cs-CZ"/>
        </w:rPr>
        <w:t xml:space="preserve">Kromě toho </w:t>
      </w:r>
      <w:r w:rsidR="0089638B" w:rsidRPr="00797EA7">
        <w:rPr>
          <w:lang w:val="cs-CZ"/>
        </w:rPr>
        <w:t xml:space="preserve">nebyly mezi skupinami zjištěny statisticky významné rozdíly v chápání pojmu "oběhové hospodářství". 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>Hodnocení možnosti získání zelených dovedností bylo nejvyšší jak u zástupců SEE (jako místa pro získání dovedností stážisty), tak u skupiny Studentů (jako studijního oboru) (</w:t>
      </w:r>
      <w:r w:rsidR="0055543A" w:rsidRPr="00797EA7">
        <w:rPr>
          <w:lang w:val="cs-CZ"/>
        </w:rPr>
        <w:t>u obou 3,11; u Učitelů VŠ činilo 2,51</w:t>
      </w:r>
      <w:r w:rsidRPr="00797EA7">
        <w:rPr>
          <w:lang w:val="cs-CZ"/>
        </w:rPr>
        <w:t xml:space="preserve">. </w:t>
      </w:r>
      <w:r w:rsidR="00BD2FDF" w:rsidRPr="00797EA7">
        <w:rPr>
          <w:lang w:val="cs-CZ"/>
        </w:rPr>
        <w:t xml:space="preserve">Výsledky </w:t>
      </w:r>
      <w:proofErr w:type="spellStart"/>
      <w:r w:rsidR="00BD2FDF" w:rsidRPr="00797EA7">
        <w:rPr>
          <w:lang w:val="cs-CZ"/>
        </w:rPr>
        <w:t>Kruskal-Wallisovy</w:t>
      </w:r>
      <w:proofErr w:type="spellEnd"/>
      <w:r w:rsidR="00BD2FDF" w:rsidRPr="00797EA7">
        <w:rPr>
          <w:lang w:val="cs-CZ"/>
        </w:rPr>
        <w:t xml:space="preserve"> ANOVY umožnily zamítnout nulovou hypotézu o neexistenci rozdílu</w:t>
      </w:r>
      <w:r w:rsidR="00BD2FDF" w:rsidRPr="00797EA7">
        <w:rPr>
          <w:rStyle w:val="Znakapoznpodarou"/>
          <w:lang w:val="cs-CZ"/>
        </w:rPr>
        <w:footnoteReference w:id="7"/>
      </w:r>
      <w:r w:rsidR="00BD2FDF" w:rsidRPr="00797EA7">
        <w:rPr>
          <w:lang w:val="cs-CZ"/>
        </w:rPr>
        <w:t xml:space="preserve"> mezi </w:t>
      </w:r>
      <w:r w:rsidR="00C93A60" w:rsidRPr="00797EA7">
        <w:rPr>
          <w:lang w:val="cs-CZ"/>
        </w:rPr>
        <w:t xml:space="preserve">skupinami </w:t>
      </w:r>
      <w:r w:rsidR="00BD2FDF" w:rsidRPr="00797EA7">
        <w:rPr>
          <w:lang w:val="cs-CZ"/>
        </w:rPr>
        <w:t>(</w:t>
      </w:r>
      <w:r w:rsidR="00BD2FDF" w:rsidRPr="00797EA7">
        <w:rPr>
          <w:i/>
          <w:iCs/>
          <w:lang w:val="cs-CZ"/>
        </w:rPr>
        <w:t>p=0</w:t>
      </w:r>
      <w:r w:rsidR="00BD2FDF" w:rsidRPr="00797EA7">
        <w:rPr>
          <w:lang w:val="cs-CZ"/>
        </w:rPr>
        <w:t>,0155). Jinými slovy, mezi skupinami jsou statisticky významné rozdíly v hodnocení možnosti osvojení si zelených dovedností.</w:t>
      </w: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Poslední společná otázka pro všechny skupiny se týkala hodnocení funkční oblasti podniků související s potřebným rozšířením "zelených dovedností". Skupiny </w:t>
      </w:r>
      <w:r w:rsidR="00923FD3" w:rsidRPr="00797EA7">
        <w:rPr>
          <w:lang w:val="cs-CZ"/>
        </w:rPr>
        <w:t>hodnotily osm dimenzí (</w:t>
      </w:r>
      <w:r w:rsidR="002A70C7" w:rsidRPr="00797EA7">
        <w:rPr>
          <w:lang w:val="cs-CZ"/>
        </w:rPr>
        <w:t xml:space="preserve">tabulka </w:t>
      </w:r>
      <w:r w:rsidR="00A301DF" w:rsidRPr="00797EA7">
        <w:rPr>
          <w:lang w:val="cs-CZ"/>
        </w:rPr>
        <w:t>18)</w:t>
      </w:r>
      <w:r w:rsidR="00923FD3" w:rsidRPr="00797EA7">
        <w:rPr>
          <w:lang w:val="cs-CZ"/>
        </w:rPr>
        <w:t xml:space="preserve">. </w:t>
      </w:r>
    </w:p>
    <w:p w:rsidR="00B04D89" w:rsidRPr="00797EA7" w:rsidRDefault="00A46B5A">
      <w:pPr>
        <w:pStyle w:val="Titulek"/>
        <w:rPr>
          <w:i w:val="0"/>
          <w:iCs w:val="0"/>
          <w:color w:val="auto"/>
          <w:sz w:val="24"/>
          <w:szCs w:val="24"/>
          <w:lang w:val="cs-CZ"/>
        </w:rPr>
      </w:pPr>
      <w:bookmarkStart w:id="34" w:name="_Toc107410755"/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 xml:space="preserve">Tabulka 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begin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instrText xml:space="preserve"> SEQ Table \* ARABIC </w:instrTex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separate"/>
      </w:r>
      <w:r w:rsidR="00A301DF" w:rsidRPr="00797EA7">
        <w:rPr>
          <w:b/>
          <w:bCs/>
          <w:i w:val="0"/>
          <w:iCs w:val="0"/>
          <w:noProof/>
          <w:color w:val="auto"/>
          <w:sz w:val="24"/>
          <w:szCs w:val="24"/>
          <w:lang w:val="cs-CZ"/>
        </w:rPr>
        <w:t>18</w:t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fldChar w:fldCharType="end"/>
      </w:r>
      <w:r w:rsidRPr="00797EA7">
        <w:rPr>
          <w:b/>
          <w:bCs/>
          <w:i w:val="0"/>
          <w:iCs w:val="0"/>
          <w:color w:val="auto"/>
          <w:sz w:val="24"/>
          <w:szCs w:val="24"/>
          <w:lang w:val="cs-CZ"/>
        </w:rPr>
        <w:t>.</w:t>
      </w:r>
      <w:r w:rsidRPr="00797EA7">
        <w:rPr>
          <w:i w:val="0"/>
          <w:iCs w:val="0"/>
          <w:color w:val="auto"/>
          <w:sz w:val="24"/>
          <w:szCs w:val="24"/>
          <w:lang w:val="cs-CZ"/>
        </w:rPr>
        <w:t xml:space="preserve"> Funkční oblasti podniků související s potřebným rozšířením "zelených dovedností</w:t>
      </w:r>
    </w:p>
    <w:tbl>
      <w:tblPr>
        <w:tblStyle w:val="Mkatabulky"/>
        <w:tblW w:w="8935" w:type="dxa"/>
        <w:tblLayout w:type="fixed"/>
        <w:tblLook w:val="04A0" w:firstRow="1" w:lastRow="0" w:firstColumn="1" w:lastColumn="0" w:noHBand="0" w:noVBand="1"/>
      </w:tblPr>
      <w:tblGrid>
        <w:gridCol w:w="1276"/>
        <w:gridCol w:w="968"/>
        <w:gridCol w:w="956"/>
        <w:gridCol w:w="1083"/>
        <w:gridCol w:w="957"/>
        <w:gridCol w:w="821"/>
        <w:gridCol w:w="820"/>
        <w:gridCol w:w="1097"/>
        <w:gridCol w:w="957"/>
      </w:tblGrid>
      <w:tr w:rsidR="002A70C7" w:rsidRPr="00797EA7" w:rsidTr="002A70C7"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2A70C7" w:rsidRPr="00797EA7" w:rsidRDefault="002A70C7" w:rsidP="00A46B5A">
            <w:pPr>
              <w:pStyle w:val="Titulek"/>
              <w:spacing w:after="0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inženýrské a technické dovednosti</w:t>
            </w: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vědecká gramotnost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provozní řízení</w:t>
            </w:r>
          </w:p>
        </w:tc>
        <w:tc>
          <w:tcPr>
            <w:tcW w:w="95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monitorování</w:t>
            </w: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designové myšlení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kreativita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schopnost přizpůsobit se budoucím výzvám</w:t>
            </w:r>
          </w:p>
        </w:tc>
        <w:tc>
          <w:tcPr>
            <w:tcW w:w="95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-57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povědomí o odolnosti</w:t>
            </w:r>
          </w:p>
        </w:tc>
      </w:tr>
      <w:tr w:rsidR="002A70C7" w:rsidRPr="00797EA7" w:rsidTr="002A70C7"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4D89" w:rsidRPr="00797EA7" w:rsidRDefault="0040091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SEE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</w:t>
            </w:r>
            <w:r w:rsidR="002A70C7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</w:t>
            </w:r>
            <w:r w:rsidR="002A70C7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.</w:t>
            </w: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</w:t>
            </w:r>
            <w:r w:rsidR="002A70C7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.35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</w:t>
            </w:r>
            <w:r w:rsidR="002A70C7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.97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49</w:t>
            </w:r>
          </w:p>
        </w:tc>
      </w:tr>
      <w:tr w:rsidR="002A70C7" w:rsidRPr="00797EA7" w:rsidTr="002A70C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Učitelé vysokých škol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i w:val="0"/>
                <w:iCs w:val="0"/>
                <w:color w:val="00000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3.28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</w:t>
            </w:r>
            <w:r w:rsidR="00BC01A9"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3.40</w:t>
            </w:r>
          </w:p>
        </w:tc>
      </w:tr>
      <w:tr w:rsidR="002A70C7" w:rsidRPr="00797EA7" w:rsidTr="002A70C7"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-27" w:firstLine="9"/>
              <w:jc w:val="center"/>
              <w:rPr>
                <w:i w:val="0"/>
                <w:iCs w:val="0"/>
                <w:sz w:val="20"/>
                <w:szCs w:val="20"/>
                <w:lang w:val="cs-CZ"/>
              </w:rPr>
            </w:pPr>
            <w:r w:rsidRPr="00797EA7"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  <w:t>Studenti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pStyle w:val="Titulek"/>
              <w:spacing w:after="0"/>
              <w:ind w:left="-27" w:firstLine="9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000000"/>
                <w:sz w:val="20"/>
                <w:szCs w:val="20"/>
                <w:lang w:val="cs-CZ"/>
              </w:rPr>
              <w:t>2.56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-27" w:firstLine="9"/>
              <w:jc w:val="center"/>
              <w:rPr>
                <w:rStyle w:val="normaltextrun"/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2.85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-27" w:firstLine="9"/>
              <w:jc w:val="center"/>
              <w:rPr>
                <w:rStyle w:val="normaltextrun"/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2</w:t>
            </w:r>
            <w:r w:rsidR="002A70C7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.96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-27" w:firstLine="9"/>
              <w:jc w:val="center"/>
              <w:rPr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 xml:space="preserve">3.13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-27" w:firstLine="9"/>
              <w:jc w:val="center"/>
              <w:rPr>
                <w:rStyle w:val="normaltextrun"/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-27" w:firstLine="9"/>
              <w:jc w:val="center"/>
              <w:rPr>
                <w:rStyle w:val="normaltextrun"/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-27" w:firstLine="9"/>
              <w:jc w:val="center"/>
              <w:rPr>
                <w:rStyle w:val="normaltextrun"/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</w:t>
            </w:r>
            <w:r w:rsidR="00BC01A9"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-27" w:firstLine="9"/>
              <w:jc w:val="center"/>
              <w:rPr>
                <w:rStyle w:val="normaltextrun"/>
                <w:rFonts w:cstheme="minorHAnsi"/>
                <w:color w:val="000000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color w:val="000000"/>
                <w:sz w:val="20"/>
                <w:szCs w:val="20"/>
                <w:lang w:val="cs-CZ"/>
              </w:rPr>
              <w:t>3.67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bookmarkEnd w:id="34"/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t xml:space="preserve">První dimenze "inženýrské a technické dovednosti" byla hodnocena nejlépe ve skupině vysokoškolských učitelů (2,83). Druhá dimenze - "vědecká gramotnost" - ve skupině Studentů (2,85). Třetí - "dovednosti v oblasti operativního řízení" - ve skupině Učitelů vysokých škol (3,09). Čtvrtý - "kontrolní dovednosti" - ve skupině Studentů (3,13). </w:t>
      </w:r>
      <w:r w:rsidR="00125A3D" w:rsidRPr="00797EA7">
        <w:rPr>
          <w:lang w:val="cs-CZ"/>
        </w:rPr>
        <w:t xml:space="preserve">Pátý - "designové myšlení" - ve skupině Učitelů vysokých škol (3,3). </w:t>
      </w:r>
      <w:r w:rsidR="00AF7621" w:rsidRPr="00797EA7">
        <w:rPr>
          <w:lang w:val="cs-CZ"/>
        </w:rPr>
        <w:t xml:space="preserve">Šestý - "kreativita" - ve skupině SEE (3,4). Sedmý - "schopnost přizpůsobit se budoucím výzvám" - ve skupině Studentů (3,56). </w:t>
      </w:r>
      <w:r w:rsidR="00A37258" w:rsidRPr="00797EA7">
        <w:rPr>
          <w:lang w:val="cs-CZ"/>
        </w:rPr>
        <w:t xml:space="preserve">Osmý - </w:t>
      </w:r>
      <w:r w:rsidR="00AF7621" w:rsidRPr="00797EA7">
        <w:rPr>
          <w:lang w:val="cs-CZ"/>
        </w:rPr>
        <w:t>"</w:t>
      </w:r>
      <w:r w:rsidR="00A37258" w:rsidRPr="00797EA7">
        <w:rPr>
          <w:lang w:val="cs-CZ"/>
        </w:rPr>
        <w:t xml:space="preserve">uvědomění si odolnosti" - </w:t>
      </w:r>
      <w:r w:rsidR="00AF7621" w:rsidRPr="00797EA7">
        <w:rPr>
          <w:lang w:val="cs-CZ"/>
        </w:rPr>
        <w:t xml:space="preserve">ve skupině </w:t>
      </w:r>
      <w:r w:rsidR="00A37258" w:rsidRPr="00797EA7">
        <w:rPr>
          <w:lang w:val="cs-CZ"/>
        </w:rPr>
        <w:t xml:space="preserve">Studentů </w:t>
      </w:r>
      <w:r w:rsidR="00AF7621" w:rsidRPr="00797EA7">
        <w:rPr>
          <w:lang w:val="cs-CZ"/>
        </w:rPr>
        <w:t>(3,</w:t>
      </w:r>
      <w:r w:rsidR="00A37258" w:rsidRPr="00797EA7">
        <w:rPr>
          <w:lang w:val="cs-CZ"/>
        </w:rPr>
        <w:t>66)</w:t>
      </w:r>
      <w:r w:rsidR="00AF7621" w:rsidRPr="00797EA7">
        <w:rPr>
          <w:lang w:val="cs-CZ"/>
        </w:rPr>
        <w:t>.</w:t>
      </w:r>
    </w:p>
    <w:p w:rsidR="00B04D89" w:rsidRPr="00797EA7" w:rsidRDefault="00A46B5A">
      <w:pPr>
        <w:jc w:val="both"/>
        <w:rPr>
          <w:lang w:val="cs-CZ"/>
        </w:rPr>
      </w:pPr>
      <w:bookmarkStart w:id="35" w:name="_Toc107410720"/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i/>
          <w:i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i/>
          <w:iCs/>
          <w:lang w:val="cs-CZ"/>
        </w:rPr>
        <w:fldChar w:fldCharType="separate"/>
      </w:r>
      <w:r w:rsidR="00C50F7E" w:rsidRPr="00797EA7">
        <w:rPr>
          <w:b/>
          <w:bCs/>
          <w:noProof/>
          <w:lang w:val="cs-CZ"/>
        </w:rPr>
        <w:t>19</w:t>
      </w:r>
      <w:r w:rsidRPr="00797EA7">
        <w:rPr>
          <w:b/>
          <w:bCs/>
          <w:i/>
          <w:iCs/>
          <w:lang w:val="cs-CZ"/>
        </w:rPr>
        <w:fldChar w:fldCharType="end"/>
      </w:r>
      <w:r w:rsidRPr="00797EA7">
        <w:rPr>
          <w:b/>
          <w:bCs/>
          <w:lang w:val="cs-CZ"/>
        </w:rPr>
        <w:t>.</w:t>
      </w:r>
      <w:r w:rsidRPr="00797EA7">
        <w:rPr>
          <w:lang w:val="cs-CZ"/>
        </w:rPr>
        <w:t xml:space="preserve"> Výsledky </w:t>
      </w:r>
      <w:proofErr w:type="spellStart"/>
      <w:r w:rsidRPr="00797EA7">
        <w:rPr>
          <w:lang w:val="cs-CZ"/>
        </w:rPr>
        <w:t>Kruskal-Wallisova</w:t>
      </w:r>
      <w:proofErr w:type="spellEnd"/>
      <w:r w:rsidRPr="00797EA7">
        <w:rPr>
          <w:lang w:val="cs-CZ"/>
        </w:rPr>
        <w:t xml:space="preserve"> ANOVA testu v rozsahu funkčních oblastí podniků souvisejících s potřebným rozšířením "zelených dovedností</w:t>
      </w:r>
      <w:bookmarkEnd w:id="35"/>
    </w:p>
    <w:tbl>
      <w:tblPr>
        <w:tblStyle w:val="Mkatabulky"/>
        <w:tblW w:w="581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843"/>
      </w:tblGrid>
      <w:tr w:rsidR="00DF4679" w:rsidRPr="00797EA7" w:rsidTr="00DF4679">
        <w:trPr>
          <w:jc w:val="center"/>
        </w:trPr>
        <w:tc>
          <w:tcPr>
            <w:tcW w:w="396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F4679" w:rsidRPr="00797EA7" w:rsidRDefault="00DF4679" w:rsidP="00DF4679">
            <w:pPr>
              <w:pStyle w:val="Titulek"/>
              <w:spacing w:after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0" w:hanging="5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lang w:val="cs-CZ"/>
              </w:rPr>
              <w:t>p-hodnota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inženýrství a technika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458" w:firstLine="0"/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  <w:t>0.0017**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cstheme="minorHAnsi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vědecká gramotnost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458" w:firstLine="0"/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  <w:t>0.0010***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provozní řízení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458" w:firstLine="0"/>
              <w:rPr>
                <w:rFonts w:cstheme="minorHAnsi"/>
                <w:b/>
                <w:bCs/>
                <w:lang w:val="cs-CZ"/>
              </w:rPr>
            </w:pPr>
            <w:r w:rsidRPr="00797EA7"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  <w:t>0.0007***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monitorování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458" w:firstLine="0"/>
              <w:rPr>
                <w:rFonts w:cstheme="minorHAnsi"/>
                <w:b/>
                <w:bCs/>
                <w:lang w:val="cs-CZ"/>
              </w:rPr>
            </w:pPr>
            <w:r w:rsidRPr="00797EA7"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  <w:t>0.0000***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designové myšlení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458" w:firstLine="0"/>
              <w:rPr>
                <w:rFonts w:cstheme="minorHAnsi"/>
                <w:lang w:val="cs-CZ"/>
              </w:rPr>
            </w:pPr>
            <w:r w:rsidRPr="00797EA7">
              <w:rPr>
                <w:rFonts w:cstheme="minorHAnsi"/>
                <w:color w:val="auto"/>
                <w:sz w:val="20"/>
                <w:szCs w:val="20"/>
                <w:lang w:val="cs-CZ"/>
              </w:rPr>
              <w:t>0.1722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kreativita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458" w:firstLine="0"/>
              <w:rPr>
                <w:rFonts w:cstheme="minorHAnsi"/>
                <w:lang w:val="cs-CZ"/>
              </w:rPr>
            </w:pPr>
            <w:r w:rsidRPr="00797EA7">
              <w:rPr>
                <w:rFonts w:cstheme="minorHAnsi"/>
                <w:color w:val="auto"/>
                <w:sz w:val="20"/>
                <w:szCs w:val="20"/>
                <w:lang w:val="cs-CZ"/>
              </w:rPr>
              <w:t>0.8311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schopnost přizpůsobit se budoucím výzvám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458" w:firstLine="0"/>
              <w:rPr>
                <w:rFonts w:cstheme="minorHAnsi"/>
                <w:lang w:val="cs-CZ"/>
              </w:rPr>
            </w:pPr>
            <w:r w:rsidRPr="00797EA7">
              <w:rPr>
                <w:rFonts w:cstheme="minorHAnsi"/>
                <w:color w:val="auto"/>
                <w:sz w:val="20"/>
                <w:szCs w:val="20"/>
                <w:lang w:val="cs-CZ"/>
              </w:rPr>
              <w:t>0.8098</w:t>
            </w:r>
          </w:p>
        </w:tc>
      </w:tr>
      <w:tr w:rsidR="00DF4679" w:rsidRPr="00797EA7" w:rsidTr="00DF46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firstLine="0"/>
              <w:jc w:val="center"/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bookmarkStart w:id="36" w:name="_Hlk107388403"/>
            <w:r w:rsidRPr="00797EA7">
              <w:rPr>
                <w:rFonts w:cstheme="minorHAnsi"/>
                <w:i w:val="0"/>
                <w:iCs w:val="0"/>
                <w:color w:val="auto"/>
                <w:sz w:val="20"/>
                <w:szCs w:val="20"/>
                <w:lang w:val="cs-CZ"/>
              </w:rPr>
              <w:t>povědomí o odolnosti</w:t>
            </w:r>
            <w:bookmarkEnd w:id="36"/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458" w:firstLine="0"/>
              <w:rPr>
                <w:rStyle w:val="normaltextrun"/>
                <w:rFonts w:cstheme="minorHAnsi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i/>
                <w:iCs/>
                <w:sz w:val="20"/>
                <w:szCs w:val="20"/>
                <w:lang w:val="cs-CZ"/>
              </w:rPr>
              <w:t>0.3530</w:t>
            </w:r>
          </w:p>
        </w:tc>
      </w:tr>
    </w:tbl>
    <w:p w:rsidR="00B04D89" w:rsidRPr="00797EA7" w:rsidRDefault="00A46B5A">
      <w:pPr>
        <w:pStyle w:val="Titulek"/>
        <w:spacing w:after="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 xml:space="preserve">Poznámka: </w:t>
      </w:r>
      <w:r w:rsidRPr="00797EA7">
        <w:rPr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 xml:space="preserve">statistická významnost: </w:t>
      </w:r>
      <w:proofErr w:type="gramStart"/>
      <w:r w:rsidRPr="00797EA7">
        <w:rPr>
          <w:rFonts w:ascii="Calibri" w:hAnsi="Calibri" w:cs="Calibri"/>
          <w:color w:val="auto"/>
          <w:sz w:val="20"/>
          <w:szCs w:val="20"/>
          <w:lang w:val="cs-CZ"/>
        </w:rPr>
        <w:t>p&lt;</w:t>
      </w:r>
      <w:proofErr w:type="gramEnd"/>
      <w:r w:rsidRPr="00797EA7">
        <w:rPr>
          <w:rFonts w:ascii="Calibri" w:hAnsi="Calibri" w:cs="Calibri"/>
          <w:color w:val="auto"/>
          <w:sz w:val="20"/>
          <w:szCs w:val="20"/>
          <w:lang w:val="cs-CZ"/>
        </w:rPr>
        <w:t>0</w:t>
      </w:r>
      <w:r w:rsidRPr="00797EA7">
        <w:rPr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 xml:space="preserve">,05 - stávající (*), </w:t>
      </w:r>
      <w:r w:rsidRPr="00797EA7">
        <w:rPr>
          <w:rFonts w:ascii="Calibri" w:hAnsi="Calibri" w:cs="Calibri"/>
          <w:color w:val="auto"/>
          <w:sz w:val="20"/>
          <w:szCs w:val="20"/>
          <w:lang w:val="cs-CZ"/>
        </w:rPr>
        <w:t>p&lt;0</w:t>
      </w:r>
      <w:r w:rsidRPr="00797EA7">
        <w:rPr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 xml:space="preserve">,01 - vysoká (**), </w:t>
      </w:r>
      <w:r w:rsidRPr="00797EA7">
        <w:rPr>
          <w:rFonts w:ascii="Calibri" w:hAnsi="Calibri" w:cs="Calibri"/>
          <w:color w:val="auto"/>
          <w:sz w:val="20"/>
          <w:szCs w:val="20"/>
          <w:lang w:val="cs-CZ"/>
        </w:rPr>
        <w:t>p&lt;0</w:t>
      </w:r>
      <w:r w:rsidRPr="00797EA7">
        <w:rPr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,001 - velmi vysoká (***).</w:t>
      </w:r>
    </w:p>
    <w:p w:rsidR="00B04D89" w:rsidRPr="00797EA7" w:rsidRDefault="00A46B5A">
      <w:pPr>
        <w:pStyle w:val="Titulek"/>
        <w:spacing w:after="120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DF4679" w:rsidRPr="00797EA7" w:rsidRDefault="00DF4679" w:rsidP="00A30D0F">
      <w:pPr>
        <w:jc w:val="both"/>
        <w:rPr>
          <w:lang w:val="cs-CZ"/>
        </w:rPr>
      </w:pPr>
    </w:p>
    <w:p w:rsidR="00B04D89" w:rsidRPr="00797EA7" w:rsidRDefault="00A46B5A">
      <w:pPr>
        <w:spacing w:after="120"/>
        <w:jc w:val="both"/>
        <w:rPr>
          <w:lang w:val="cs-CZ"/>
        </w:rPr>
      </w:pPr>
      <w:r w:rsidRPr="00797EA7">
        <w:rPr>
          <w:lang w:val="cs-CZ"/>
        </w:rPr>
        <w:lastRenderedPageBreak/>
        <w:t xml:space="preserve">Výsledky </w:t>
      </w:r>
      <w:proofErr w:type="spellStart"/>
      <w:r w:rsidRPr="00797EA7">
        <w:rPr>
          <w:lang w:val="cs-CZ"/>
        </w:rPr>
        <w:t>Kruskalovy-Wallisovy</w:t>
      </w:r>
      <w:proofErr w:type="spellEnd"/>
      <w:r w:rsidRPr="00797EA7">
        <w:rPr>
          <w:lang w:val="cs-CZ"/>
        </w:rPr>
        <w:t xml:space="preserve"> ANOVY umožnily ve čtyřech případech zamítnout nulovou hypotézu o neexistenci rozdílu</w:t>
      </w:r>
      <w:r w:rsidRPr="00797EA7">
        <w:rPr>
          <w:rStyle w:val="Znakapoznpodarou"/>
          <w:lang w:val="cs-CZ"/>
        </w:rPr>
        <w:footnoteReference w:id="8"/>
      </w:r>
      <w:r w:rsidRPr="00797EA7">
        <w:rPr>
          <w:lang w:val="cs-CZ"/>
        </w:rPr>
        <w:t xml:space="preserve"> mezi skupinami (</w:t>
      </w:r>
      <w:r w:rsidRPr="00797EA7">
        <w:rPr>
          <w:i/>
          <w:iCs/>
          <w:lang w:val="cs-CZ"/>
        </w:rPr>
        <w:t xml:space="preserve">p-hodnota </w:t>
      </w:r>
      <w:r w:rsidRPr="00797EA7">
        <w:rPr>
          <w:lang w:val="cs-CZ"/>
        </w:rPr>
        <w:t>vyznačena tučně). Jinými slovy, v těchto čtyřech dimenzích existují mezi skupinami statisticky významné rozdíly.</w:t>
      </w:r>
    </w:p>
    <w:p w:rsidR="00C93A60" w:rsidRPr="00797EA7" w:rsidRDefault="00C93A60" w:rsidP="001B4013">
      <w:pPr>
        <w:spacing w:before="120" w:after="120"/>
        <w:jc w:val="both"/>
        <w:rPr>
          <w:lang w:val="cs-CZ"/>
        </w:rPr>
      </w:pPr>
    </w:p>
    <w:p w:rsidR="00B04D89" w:rsidRPr="00797EA7" w:rsidRDefault="00A46B5A">
      <w:pPr>
        <w:pStyle w:val="paragraph"/>
        <w:numPr>
          <w:ilvl w:val="1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b/>
          <w:bCs/>
          <w:lang w:val="cs-CZ"/>
        </w:rPr>
      </w:pPr>
      <w:r w:rsidRPr="00797EA7">
        <w:rPr>
          <w:rStyle w:val="normaltextrun"/>
          <w:rFonts w:ascii="Calibri" w:hAnsi="Calibri" w:cs="Calibri"/>
          <w:b/>
          <w:bCs/>
          <w:color w:val="538135" w:themeColor="accent6" w:themeShade="BF"/>
          <w:lang w:val="cs-CZ"/>
        </w:rPr>
        <w:t>Ověření výzkumné hypotézy</w:t>
      </w:r>
    </w:p>
    <w:p w:rsidR="00CB0893" w:rsidRPr="00797EA7" w:rsidRDefault="00CB0893" w:rsidP="001B4013">
      <w:pPr>
        <w:pStyle w:val="paragraph"/>
        <w:spacing w:before="120" w:beforeAutospacing="0" w:after="120" w:afterAutospacing="0"/>
        <w:ind w:left="357"/>
        <w:jc w:val="both"/>
        <w:textAlignment w:val="baseline"/>
        <w:rPr>
          <w:b/>
          <w:bCs/>
          <w:lang w:val="cs-CZ"/>
        </w:rPr>
      </w:pP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 </w:t>
      </w:r>
      <w:r w:rsidRPr="00797EA7">
        <w:rPr>
          <w:rFonts w:cstheme="minorHAnsi"/>
          <w:b/>
          <w:bCs/>
          <w:lang w:val="cs-CZ"/>
        </w:rPr>
        <w:t xml:space="preserve">první výzkumné hypotéze </w:t>
      </w:r>
      <w:r w:rsidRPr="00797EA7">
        <w:rPr>
          <w:rFonts w:cstheme="minorHAnsi"/>
          <w:lang w:val="cs-CZ"/>
        </w:rPr>
        <w:t xml:space="preserve">autoři předpokládali, že </w:t>
      </w:r>
      <w:r w:rsidR="00CB0893" w:rsidRPr="00797EA7">
        <w:rPr>
          <w:rFonts w:cstheme="minorHAnsi"/>
          <w:lang w:val="cs-CZ"/>
        </w:rPr>
        <w:t xml:space="preserve">subjekty sociální ekonomiky, přestože se významně podílejí na ekologických aktivitách, nevykazují významné dovednosti a kompetence v oblasti ekologických dovedností relevantních pro potřeby trhu (zaměřených na tvorbu příjmů). </w:t>
      </w:r>
      <w:r w:rsidRPr="00797EA7">
        <w:rPr>
          <w:rFonts w:cstheme="minorHAnsi"/>
          <w:lang w:val="cs-CZ"/>
        </w:rPr>
        <w:t xml:space="preserve">Z výsledků výzkumu vyplývá, </w:t>
      </w:r>
      <w:r w:rsidR="002D6214" w:rsidRPr="00797EA7">
        <w:rPr>
          <w:rFonts w:cstheme="minorHAnsi"/>
          <w:lang w:val="cs-CZ"/>
        </w:rPr>
        <w:t>že zástupci SEE znají pojem "zelené dovednosti" (65,4 %), stejně jako jej identifikují jako "znalosti, schopnosti, hodnoty a postoje potřebné k rozvoji a podpoře společnosti, která snižuje dopad lidských činností na životní prostředí" (rovněž 65,4 %). Pojem "oběhové hospodářství" považují většinou za "obnovu materiálů" (79 %). To může naznačovat mírnou úroveň znalostí těchto aspektů a ztotožnění s technickými prvky</w:t>
      </w:r>
      <w:r w:rsidR="005C2A4C" w:rsidRPr="00797EA7">
        <w:rPr>
          <w:rFonts w:cstheme="minorHAnsi"/>
          <w:lang w:val="cs-CZ"/>
        </w:rPr>
        <w:t xml:space="preserve">. </w:t>
      </w:r>
      <w:r w:rsidR="002E4CC0" w:rsidRPr="00797EA7">
        <w:rPr>
          <w:rFonts w:cstheme="minorHAnsi"/>
          <w:lang w:val="cs-CZ"/>
        </w:rPr>
        <w:t xml:space="preserve">Hodnocení toho, že mají možnost získat ekologické dovednosti lidé pracující/stážující v jejich organizaci, bylo na průměrné úrovni (průměr = 3,1). To může naznačovat střední úroveň této možnosti </w:t>
      </w:r>
      <w:r w:rsidR="00CC5FED" w:rsidRPr="00797EA7">
        <w:rPr>
          <w:rFonts w:cstheme="minorHAnsi"/>
          <w:lang w:val="cs-CZ"/>
        </w:rPr>
        <w:t>vyplývající z povahy fungování dotazovaných SEE.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Při hodnocení možnosti získání "zelených dovedností" na místě stáže zástupci SEE zjistili, že souvisí především se "schopností přizpůsobit se budoucím výzvám" (průměr = 3,51) a "uvědoměním si odolnosti" (průměr = 3,49). </w:t>
      </w:r>
      <w:r w:rsidR="005A34D3" w:rsidRPr="00797EA7">
        <w:rPr>
          <w:rFonts w:cstheme="minorHAnsi"/>
          <w:lang w:val="cs-CZ"/>
        </w:rPr>
        <w:t xml:space="preserve">To </w:t>
      </w:r>
      <w:r w:rsidR="00382A27" w:rsidRPr="00797EA7">
        <w:rPr>
          <w:rFonts w:cstheme="minorHAnsi"/>
          <w:lang w:val="cs-CZ"/>
        </w:rPr>
        <w:t xml:space="preserve">bohužel </w:t>
      </w:r>
      <w:r w:rsidR="005A34D3" w:rsidRPr="00797EA7">
        <w:rPr>
          <w:rFonts w:cstheme="minorHAnsi"/>
          <w:lang w:val="cs-CZ"/>
        </w:rPr>
        <w:t xml:space="preserve">nenaznačuje podnikatelské smýšlení, ale spíše důraz na měkké dovednosti. 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Schopnost zdůvodnit </w:t>
      </w:r>
      <w:r w:rsidR="007D435C" w:rsidRPr="00797EA7">
        <w:rPr>
          <w:rFonts w:cstheme="minorHAnsi"/>
          <w:lang w:val="cs-CZ"/>
        </w:rPr>
        <w:t xml:space="preserve">nákladovou efektivnost environmentálních řešení z ekonomického, sociálního a ekologického hlediska </w:t>
      </w:r>
      <w:r w:rsidRPr="00797EA7">
        <w:rPr>
          <w:rFonts w:cstheme="minorHAnsi"/>
          <w:lang w:val="cs-CZ"/>
        </w:rPr>
        <w:t xml:space="preserve">byla zástupci SEE hodnocena na střední úrovni. Průměr nepřesáhl 4,0 a byl </w:t>
      </w:r>
      <w:proofErr w:type="spellStart"/>
      <w:r w:rsidRPr="00797EA7">
        <w:rPr>
          <w:rFonts w:cstheme="minorHAnsi"/>
          <w:lang w:val="cs-CZ"/>
        </w:rPr>
        <w:t>resp</w:t>
      </w:r>
      <w:proofErr w:type="spellEnd"/>
      <w:r w:rsidRPr="00797EA7">
        <w:rPr>
          <w:rFonts w:cstheme="minorHAnsi"/>
          <w:lang w:val="cs-CZ"/>
        </w:rPr>
        <w:t xml:space="preserve">: </w:t>
      </w:r>
      <w:r w:rsidR="007D435C" w:rsidRPr="00797EA7">
        <w:rPr>
          <w:rFonts w:cstheme="minorHAnsi"/>
          <w:lang w:val="cs-CZ"/>
        </w:rPr>
        <w:t xml:space="preserve">"3,14" pro ekonomické </w:t>
      </w:r>
      <w:r w:rsidR="008E7EFF" w:rsidRPr="00797EA7">
        <w:rPr>
          <w:rFonts w:cstheme="minorHAnsi"/>
          <w:lang w:val="cs-CZ"/>
        </w:rPr>
        <w:t xml:space="preserve">hledisko, </w:t>
      </w:r>
      <w:r w:rsidR="007D435C" w:rsidRPr="00797EA7">
        <w:rPr>
          <w:rFonts w:cstheme="minorHAnsi"/>
          <w:lang w:val="cs-CZ"/>
        </w:rPr>
        <w:t xml:space="preserve">"3,61" pro sociální </w:t>
      </w:r>
      <w:r w:rsidR="008E7EFF" w:rsidRPr="00797EA7">
        <w:rPr>
          <w:rFonts w:cstheme="minorHAnsi"/>
          <w:lang w:val="cs-CZ"/>
        </w:rPr>
        <w:t xml:space="preserve">hledisko </w:t>
      </w:r>
      <w:r w:rsidR="007D435C" w:rsidRPr="00797EA7">
        <w:rPr>
          <w:rFonts w:cstheme="minorHAnsi"/>
          <w:lang w:val="cs-CZ"/>
        </w:rPr>
        <w:t xml:space="preserve">a "3,71" pro ekologické </w:t>
      </w:r>
      <w:r w:rsidR="008E7EFF" w:rsidRPr="00797EA7">
        <w:rPr>
          <w:rFonts w:cstheme="minorHAnsi"/>
          <w:lang w:val="cs-CZ"/>
        </w:rPr>
        <w:t>hledisko</w:t>
      </w:r>
      <w:r w:rsidR="007D435C" w:rsidRPr="00797EA7">
        <w:rPr>
          <w:rFonts w:cstheme="minorHAnsi"/>
          <w:lang w:val="cs-CZ"/>
        </w:rPr>
        <w:t xml:space="preserve">. </w:t>
      </w:r>
      <w:r w:rsidR="00AA0527" w:rsidRPr="00797EA7">
        <w:rPr>
          <w:rFonts w:cstheme="minorHAnsi"/>
          <w:lang w:val="cs-CZ"/>
        </w:rPr>
        <w:t xml:space="preserve">Kromě toho 74 % zástupců SEE uvedlo, že nejsou schopni generovat příjmy prostřednictvím svých aktivit v oblasti zelené ekonomiky. </w:t>
      </w:r>
    </w:p>
    <w:p w:rsidR="00B04D89" w:rsidRPr="00797EA7" w:rsidRDefault="00A46B5A">
      <w:pPr>
        <w:spacing w:after="120"/>
        <w:jc w:val="both"/>
        <w:rPr>
          <w:rFonts w:cstheme="minorHAnsi"/>
          <w:b/>
          <w:bCs/>
          <w:lang w:val="cs-CZ"/>
        </w:rPr>
      </w:pPr>
      <w:r w:rsidRPr="00797EA7">
        <w:rPr>
          <w:rFonts w:cstheme="minorHAnsi"/>
          <w:lang w:val="cs-CZ"/>
        </w:rPr>
        <w:t xml:space="preserve">Tyto výsledky mohou naznačovat, že ekologické dovednosti nejsou v těchto zemích plně rozvinuty. První výzkumnou hypotézu </w:t>
      </w:r>
      <w:r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>H</w:t>
      </w:r>
      <w:r w:rsidRPr="00797EA7">
        <w:rPr>
          <w:rFonts w:cstheme="minorHAnsi"/>
          <w:b/>
          <w:bCs/>
          <w:i/>
          <w:iCs/>
          <w:color w:val="538135" w:themeColor="accent6" w:themeShade="BF"/>
          <w:vertAlign w:val="subscript"/>
          <w:lang w:val="cs-CZ"/>
        </w:rPr>
        <w:t>1</w:t>
      </w:r>
      <w:r w:rsidRPr="00797EA7">
        <w:rPr>
          <w:rFonts w:cstheme="minorHAnsi"/>
          <w:lang w:val="cs-CZ"/>
        </w:rPr>
        <w:t xml:space="preserve"> lze tedy </w:t>
      </w:r>
      <w:r w:rsidRPr="00797EA7">
        <w:rPr>
          <w:rFonts w:cstheme="minorHAnsi"/>
          <w:b/>
          <w:bCs/>
          <w:lang w:val="cs-CZ"/>
        </w:rPr>
        <w:t>přijmout (</w:t>
      </w:r>
      <w:r w:rsidR="00550EEC" w:rsidRPr="00797EA7">
        <w:rPr>
          <w:rFonts w:cstheme="minorHAnsi"/>
          <w:lang w:val="cs-CZ"/>
        </w:rPr>
        <w:t xml:space="preserve">tabulka </w:t>
      </w:r>
      <w:r w:rsidR="00C50F7E" w:rsidRPr="00797EA7">
        <w:rPr>
          <w:rFonts w:cstheme="minorHAnsi"/>
          <w:lang w:val="cs-CZ"/>
        </w:rPr>
        <w:t>20</w:t>
      </w:r>
      <w:r w:rsidR="00550EEC" w:rsidRPr="00797EA7">
        <w:rPr>
          <w:rFonts w:cstheme="minorHAnsi"/>
          <w:lang w:val="cs-CZ"/>
        </w:rPr>
        <w:t>)</w:t>
      </w:r>
      <w:r w:rsidRPr="00797EA7">
        <w:rPr>
          <w:rFonts w:cstheme="minorHAnsi"/>
          <w:lang w:val="cs-CZ"/>
        </w:rPr>
        <w:t>.</w:t>
      </w:r>
    </w:p>
    <w:p w:rsidR="002621DF" w:rsidRPr="00797EA7" w:rsidRDefault="002621DF" w:rsidP="007D435C">
      <w:pPr>
        <w:jc w:val="both"/>
        <w:rPr>
          <w:rFonts w:cstheme="minorHAnsi"/>
          <w:b/>
          <w:bCs/>
          <w:lang w:val="cs-CZ"/>
        </w:rPr>
      </w:pPr>
    </w:p>
    <w:p w:rsidR="00B04D89" w:rsidRPr="00797EA7" w:rsidRDefault="00A46B5A">
      <w:pPr>
        <w:jc w:val="both"/>
        <w:rPr>
          <w:lang w:val="cs-CZ"/>
        </w:rPr>
      </w:pPr>
      <w:bookmarkStart w:id="37" w:name="_Toc107410721"/>
      <w:r w:rsidRPr="00797EA7">
        <w:rPr>
          <w:b/>
          <w:bCs/>
          <w:lang w:val="cs-CZ"/>
        </w:rPr>
        <w:t xml:space="preserve">Tabulka </w:t>
      </w:r>
      <w:r w:rsidRPr="00797EA7">
        <w:rPr>
          <w:b/>
          <w:bCs/>
          <w:i/>
          <w:iCs/>
          <w:lang w:val="cs-CZ"/>
        </w:rPr>
        <w:fldChar w:fldCharType="begin"/>
      </w:r>
      <w:r w:rsidRPr="00797EA7">
        <w:rPr>
          <w:b/>
          <w:bCs/>
          <w:lang w:val="cs-CZ"/>
        </w:rPr>
        <w:instrText xml:space="preserve"> SEQ Table \* ARABIC </w:instrText>
      </w:r>
      <w:r w:rsidRPr="00797EA7">
        <w:rPr>
          <w:b/>
          <w:bCs/>
          <w:i/>
          <w:iCs/>
          <w:lang w:val="cs-CZ"/>
        </w:rPr>
        <w:fldChar w:fldCharType="separate"/>
      </w:r>
      <w:r w:rsidR="00C50F7E" w:rsidRPr="00797EA7">
        <w:rPr>
          <w:b/>
          <w:bCs/>
          <w:noProof/>
          <w:lang w:val="cs-CZ"/>
        </w:rPr>
        <w:t>20</w:t>
      </w:r>
      <w:r w:rsidRPr="00797EA7">
        <w:rPr>
          <w:b/>
          <w:bCs/>
          <w:i/>
          <w:iCs/>
          <w:lang w:val="cs-CZ"/>
        </w:rPr>
        <w:fldChar w:fldCharType="end"/>
      </w:r>
      <w:r w:rsidRPr="00797EA7">
        <w:rPr>
          <w:b/>
          <w:bCs/>
          <w:lang w:val="cs-CZ"/>
        </w:rPr>
        <w:t xml:space="preserve">. </w:t>
      </w:r>
      <w:r w:rsidRPr="00797EA7">
        <w:rPr>
          <w:lang w:val="cs-CZ"/>
        </w:rPr>
        <w:t xml:space="preserve">Shrnutí výzkumných hypotéz </w:t>
      </w:r>
      <w:bookmarkEnd w:id="37"/>
    </w:p>
    <w:tbl>
      <w:tblPr>
        <w:tblStyle w:val="Mkatabulky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6739"/>
        <w:gridCol w:w="1906"/>
      </w:tblGrid>
      <w:tr w:rsidR="00550EEC" w:rsidRPr="00797EA7" w:rsidTr="00A46B5A">
        <w:trPr>
          <w:jc w:val="center"/>
        </w:trPr>
        <w:tc>
          <w:tcPr>
            <w:tcW w:w="673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04D89" w:rsidRPr="00797EA7" w:rsidRDefault="00A46B5A">
            <w:pPr>
              <w:pStyle w:val="Titulek"/>
              <w:spacing w:after="0"/>
              <w:ind w:left="0" w:hanging="57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highlight w:val="yellow"/>
                <w:lang w:val="cs-CZ"/>
              </w:rPr>
            </w:pPr>
            <w:r w:rsidRPr="00797EA7">
              <w:rPr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hypotéza</w:t>
            </w:r>
          </w:p>
        </w:tc>
        <w:tc>
          <w:tcPr>
            <w:tcW w:w="190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0"/>
              <w:ind w:left="0" w:hanging="5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</w:pPr>
            <w:r w:rsidRPr="00797EA7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16"/>
                <w:szCs w:val="16"/>
                <w:lang w:val="cs-CZ"/>
              </w:rPr>
              <w:t>rozhodnutí</w:t>
            </w:r>
          </w:p>
        </w:tc>
      </w:tr>
      <w:tr w:rsidR="00550EEC" w:rsidRPr="00797EA7" w:rsidTr="00A46B5A"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120"/>
              <w:ind w:left="0" w:firstLine="0"/>
              <w:jc w:val="center"/>
              <w:rPr>
                <w:rStyle w:val="normaltextrun"/>
                <w:rFonts w:ascii="Calibri" w:hAnsi="Calibri" w:cs="Calibri"/>
                <w:i w:val="0"/>
                <w:iCs w:val="0"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eastAsiaTheme="minorHAnsi" w:cstheme="minorHAnsi"/>
                <w:b/>
                <w:bCs/>
                <w:color w:val="538135" w:themeColor="accent6" w:themeShade="BF"/>
                <w:lang w:val="cs-CZ"/>
              </w:rPr>
              <w:t>H</w:t>
            </w:r>
            <w:proofErr w:type="gramStart"/>
            <w:r w:rsidRPr="00797EA7">
              <w:rPr>
                <w:rFonts w:eastAsiaTheme="minorHAnsi" w:cstheme="minorHAnsi"/>
                <w:b/>
                <w:bCs/>
                <w:color w:val="538135" w:themeColor="accent6" w:themeShade="BF"/>
                <w:vertAlign w:val="subscript"/>
                <w:lang w:val="cs-CZ"/>
              </w:rPr>
              <w:t>1</w:t>
            </w:r>
            <w:r w:rsidRPr="00797EA7">
              <w:rPr>
                <w:rFonts w:eastAsiaTheme="minorHAnsi" w:cstheme="minorHAnsi"/>
                <w:b/>
                <w:bCs/>
                <w:color w:val="538135" w:themeColor="accent6" w:themeShade="BF"/>
                <w:lang w:val="cs-CZ"/>
              </w:rPr>
              <w:t xml:space="preserve"> :</w:t>
            </w:r>
            <w:proofErr w:type="gramEnd"/>
            <w:r w:rsidRPr="00797EA7">
              <w:rPr>
                <w:rFonts w:eastAsiaTheme="minorHAnsi" w:cstheme="minorHAnsi"/>
                <w:b/>
                <w:bCs/>
                <w:color w:val="538135" w:themeColor="accent6" w:themeShade="BF"/>
                <w:lang w:val="cs-CZ"/>
              </w:rPr>
              <w:t xml:space="preserve"> </w:t>
            </w:r>
            <w:r w:rsidRPr="00797EA7">
              <w:rPr>
                <w:rFonts w:cstheme="minorHAnsi"/>
                <w:i w:val="0"/>
                <w:iCs w:val="0"/>
                <w:color w:val="auto"/>
                <w:sz w:val="16"/>
                <w:szCs w:val="16"/>
                <w:lang w:val="cs-CZ"/>
              </w:rPr>
              <w:t>Subjekty sociální ekonomiky, přestože se významně podílejí na ekologických činnostech, neprokazují významné dovednosti a kompetence v oblasti ekologických dovedností odpovídajících potřebám trhu (zaměřených na tvorbu příjmů) a jejich rozvoje.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120"/>
              <w:ind w:left="0" w:firstLine="0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  <w:t>přijato</w:t>
            </w:r>
          </w:p>
        </w:tc>
      </w:tr>
      <w:tr w:rsidR="00550EEC" w:rsidRPr="00797EA7" w:rsidTr="00A46B5A"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04D89" w:rsidRPr="00797EA7" w:rsidRDefault="00A46B5A">
            <w:pPr>
              <w:pStyle w:val="Titulek"/>
              <w:spacing w:after="120"/>
              <w:ind w:left="0" w:firstLine="0"/>
              <w:jc w:val="center"/>
              <w:rPr>
                <w:rFonts w:cstheme="minorHAnsi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538135" w:themeColor="accent6" w:themeShade="BF"/>
                <w:lang w:val="cs-CZ"/>
              </w:rPr>
              <w:t>H</w:t>
            </w:r>
            <w:proofErr w:type="gramStart"/>
            <w:r w:rsidRPr="00797EA7">
              <w:rPr>
                <w:rFonts w:cstheme="minorHAnsi"/>
                <w:b/>
                <w:bCs/>
                <w:color w:val="538135" w:themeColor="accent6" w:themeShade="BF"/>
                <w:vertAlign w:val="subscript"/>
                <w:lang w:val="cs-CZ"/>
              </w:rPr>
              <w:t>2</w:t>
            </w:r>
            <w:r w:rsidRPr="00797EA7">
              <w:rPr>
                <w:rFonts w:cstheme="minorHAnsi"/>
                <w:b/>
                <w:bCs/>
                <w:color w:val="538135" w:themeColor="accent6" w:themeShade="BF"/>
                <w:lang w:val="cs-CZ"/>
              </w:rPr>
              <w:t xml:space="preserve"> :</w:t>
            </w:r>
            <w:proofErr w:type="gramEnd"/>
            <w:r w:rsidRPr="00797EA7">
              <w:rPr>
                <w:rFonts w:cstheme="minorHAnsi"/>
                <w:b/>
                <w:bCs/>
                <w:color w:val="538135" w:themeColor="accent6" w:themeShade="BF"/>
                <w:lang w:val="cs-CZ"/>
              </w:rPr>
              <w:t xml:space="preserve"> </w:t>
            </w:r>
            <w:r w:rsidRPr="00797EA7">
              <w:rPr>
                <w:rFonts w:cstheme="minorHAnsi"/>
                <w:i w:val="0"/>
                <w:iCs w:val="0"/>
                <w:color w:val="auto"/>
                <w:sz w:val="16"/>
                <w:szCs w:val="16"/>
                <w:lang w:val="cs-CZ"/>
              </w:rPr>
              <w:t>Nedostatky v zelených dovednostech SEE jsou překážkou pro navazování meziodvětvové spolupráce, získávání projektů oběhového hospodářství, které jsou prospěšné pro životní prostředí, hospodářství a rozvoj samotných SEE.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89" w:rsidRPr="00797EA7" w:rsidRDefault="00A46B5A">
            <w:pPr>
              <w:pStyle w:val="Titulek"/>
              <w:spacing w:after="120"/>
              <w:ind w:left="0" w:firstLine="0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color w:val="auto"/>
                <w:sz w:val="20"/>
                <w:szCs w:val="20"/>
                <w:lang w:val="cs-CZ"/>
              </w:rPr>
              <w:t>částečně zamítnuto</w:t>
            </w:r>
          </w:p>
        </w:tc>
      </w:tr>
      <w:tr w:rsidR="00550EEC" w:rsidRPr="00797EA7" w:rsidTr="00A46B5A">
        <w:trPr>
          <w:jc w:val="center"/>
        </w:trPr>
        <w:tc>
          <w:tcPr>
            <w:tcW w:w="67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D89" w:rsidRPr="00797EA7" w:rsidRDefault="00A46B5A">
            <w:pPr>
              <w:jc w:val="both"/>
              <w:rPr>
                <w:rFonts w:cstheme="minorHAnsi"/>
                <w:lang w:val="cs-CZ"/>
              </w:rPr>
            </w:pPr>
            <w:r w:rsidRPr="00797EA7">
              <w:rPr>
                <w:rFonts w:cstheme="minorHAnsi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cs-CZ"/>
              </w:rPr>
              <w:t>H</w:t>
            </w:r>
            <w:proofErr w:type="gramStart"/>
            <w:r w:rsidRPr="00797EA7">
              <w:rPr>
                <w:rFonts w:cstheme="minorHAnsi"/>
                <w:b/>
                <w:bCs/>
                <w:i/>
                <w:iCs/>
                <w:color w:val="538135" w:themeColor="accent6" w:themeShade="BF"/>
                <w:sz w:val="18"/>
                <w:szCs w:val="18"/>
                <w:vertAlign w:val="subscript"/>
                <w:lang w:val="cs-CZ"/>
              </w:rPr>
              <w:t>3</w:t>
            </w:r>
            <w:r w:rsidRPr="00797EA7">
              <w:rPr>
                <w:rFonts w:cstheme="minorHAnsi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cs-CZ"/>
              </w:rPr>
              <w:t xml:space="preserve"> :</w:t>
            </w:r>
            <w:proofErr w:type="gramEnd"/>
            <w:r w:rsidRPr="00797EA7">
              <w:rPr>
                <w:rFonts w:cstheme="minorHAnsi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cs-CZ"/>
              </w:rPr>
              <w:t xml:space="preserve"> </w:t>
            </w:r>
            <w:r w:rsidRPr="00797EA7">
              <w:rPr>
                <w:rFonts w:cstheme="minorHAnsi"/>
                <w:sz w:val="16"/>
                <w:szCs w:val="16"/>
                <w:lang w:val="cs-CZ"/>
              </w:rPr>
              <w:t>Je třeba upravit vzdělávací programy s cílem zvýšit podporu tak, aby centra vysokoškolského vzdělávání poskytovala podporu pro vytváření dovedností jako hnací síly zelené transformace.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04D89" w:rsidRPr="00797EA7" w:rsidRDefault="00A46B5A">
            <w:pPr>
              <w:ind w:left="458" w:firstLine="0"/>
              <w:rPr>
                <w:rStyle w:val="normaltextrun"/>
                <w:rFonts w:cstheme="minorHAnsi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797EA7">
              <w:rPr>
                <w:rFonts w:cstheme="minorHAnsi"/>
                <w:b/>
                <w:bCs/>
                <w:i/>
                <w:iCs/>
                <w:sz w:val="20"/>
                <w:szCs w:val="20"/>
                <w:lang w:val="cs-CZ"/>
              </w:rPr>
              <w:t>přijato</w:t>
            </w:r>
          </w:p>
        </w:tc>
      </w:tr>
    </w:tbl>
    <w:p w:rsidR="00B04D89" w:rsidRPr="00797EA7" w:rsidRDefault="00A46B5A">
      <w:pPr>
        <w:pStyle w:val="Titulek"/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</w:pPr>
      <w:r w:rsidRPr="00797EA7">
        <w:rPr>
          <w:rStyle w:val="normaltextrun"/>
          <w:rFonts w:ascii="Calibri" w:hAnsi="Calibri" w:cs="Calibri"/>
          <w:i w:val="0"/>
          <w:iCs w:val="0"/>
          <w:color w:val="auto"/>
          <w:sz w:val="20"/>
          <w:szCs w:val="20"/>
          <w:lang w:val="cs-CZ"/>
        </w:rPr>
        <w:t>Zdroje: vlastní zpracování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Ve </w:t>
      </w:r>
      <w:r w:rsidRPr="00797EA7">
        <w:rPr>
          <w:rFonts w:cstheme="minorHAnsi"/>
          <w:b/>
          <w:bCs/>
          <w:lang w:val="cs-CZ"/>
        </w:rPr>
        <w:t xml:space="preserve">druhé výzkumné hypotéze </w:t>
      </w:r>
      <w:r w:rsidRPr="00797EA7">
        <w:rPr>
          <w:rFonts w:cstheme="minorHAnsi"/>
          <w:lang w:val="cs-CZ"/>
        </w:rPr>
        <w:t xml:space="preserve">autoři předpokládali, že nedostatky v zelených dovednostech SEE jsou překážkou pro vstup do mezisektorové spolupráce, získávání projektů oběhového hospodářství, které jsou prospěšné pro životní prostředí, ekonomiku a rozvoj samotných SEE. </w:t>
      </w:r>
      <w:r w:rsidRPr="00797EA7">
        <w:rPr>
          <w:rFonts w:cstheme="minorHAnsi"/>
          <w:lang w:val="cs-CZ"/>
        </w:rPr>
        <w:lastRenderedPageBreak/>
        <w:t xml:space="preserve">Výsledky výzkumu ukazují, že </w:t>
      </w:r>
      <w:r w:rsidR="00BD39A7" w:rsidRPr="00797EA7">
        <w:rPr>
          <w:rFonts w:cstheme="minorHAnsi"/>
          <w:lang w:val="cs-CZ"/>
        </w:rPr>
        <w:t xml:space="preserve">hodnocení schopnosti najít </w:t>
      </w:r>
      <w:r w:rsidR="007D435C" w:rsidRPr="00797EA7">
        <w:rPr>
          <w:rFonts w:cstheme="minorHAnsi"/>
          <w:lang w:val="cs-CZ"/>
        </w:rPr>
        <w:t xml:space="preserve">partnery (např. podnikatelské subjekty nebo veřejné instituce) pro realizaci ekologických projektů </w:t>
      </w:r>
      <w:r w:rsidR="00BD39A7" w:rsidRPr="00797EA7">
        <w:rPr>
          <w:rFonts w:cstheme="minorHAnsi"/>
          <w:lang w:val="cs-CZ"/>
        </w:rPr>
        <w:t>je mírné (průměr = 3</w:t>
      </w:r>
      <w:r w:rsidR="007D435C" w:rsidRPr="00797EA7">
        <w:rPr>
          <w:rFonts w:cstheme="minorHAnsi"/>
          <w:lang w:val="cs-CZ"/>
        </w:rPr>
        <w:t>,2)</w:t>
      </w:r>
      <w:r w:rsidR="00BD39A7" w:rsidRPr="00797EA7">
        <w:rPr>
          <w:rFonts w:cstheme="minorHAnsi"/>
          <w:lang w:val="cs-CZ"/>
        </w:rPr>
        <w:t xml:space="preserve">. Respondenti ze skupiny SEE si všimli, že nejdůležitější překážky mají vnější a "technický" charakter (např. byrokracie - 54,3 %; institucionální omezení - 41,9 % a nedostatek vhodných právních rámců - 39,5 %). V menší míře byl nedostatek partnerství způsoben nedostatkem dovedností (např. nedostatečné ekonomické znalosti členů organizace - 29,6 %, nedostatečné environmentální znalosti členů organizace - 28,4 %). </w:t>
      </w:r>
      <w:r w:rsidR="003A144C" w:rsidRPr="00797EA7">
        <w:rPr>
          <w:rFonts w:cstheme="minorHAnsi"/>
          <w:lang w:val="cs-CZ"/>
        </w:rPr>
        <w:t xml:space="preserve">Tento problém však uvedlo téměř 30 % respondentů, takže zkoumanou hypotézu </w:t>
      </w:r>
      <w:r w:rsidR="003A144C"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>H</w:t>
      </w:r>
      <w:r w:rsidR="003A144C" w:rsidRPr="00797EA7">
        <w:rPr>
          <w:rFonts w:cstheme="minorHAnsi"/>
          <w:b/>
          <w:bCs/>
          <w:i/>
          <w:iCs/>
          <w:color w:val="538135" w:themeColor="accent6" w:themeShade="BF"/>
          <w:vertAlign w:val="subscript"/>
          <w:lang w:val="cs-CZ"/>
        </w:rPr>
        <w:t>2</w:t>
      </w:r>
      <w:r w:rsidR="003A144C" w:rsidRPr="00797EA7">
        <w:rPr>
          <w:rFonts w:cstheme="minorHAnsi"/>
          <w:b/>
          <w:bCs/>
          <w:lang w:val="cs-CZ"/>
        </w:rPr>
        <w:t xml:space="preserve"> nelze jednoznačně zamítnout.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Ve </w:t>
      </w:r>
      <w:r w:rsidRPr="00797EA7">
        <w:rPr>
          <w:rFonts w:cstheme="minorHAnsi"/>
          <w:b/>
          <w:bCs/>
          <w:lang w:val="cs-CZ"/>
        </w:rPr>
        <w:t xml:space="preserve">třetí výzkumné hypotéze </w:t>
      </w:r>
      <w:r w:rsidRPr="00797EA7">
        <w:rPr>
          <w:rFonts w:cstheme="minorHAnsi"/>
          <w:lang w:val="cs-CZ"/>
        </w:rPr>
        <w:t xml:space="preserve">autoři předpokládali, že je třeba upravit vzdělávací programy, aby se zvýšila podpora tak, aby vysokoškolská </w:t>
      </w:r>
      <w:r w:rsidR="0075467A" w:rsidRPr="00797EA7">
        <w:rPr>
          <w:rFonts w:cstheme="minorHAnsi"/>
          <w:lang w:val="cs-CZ"/>
        </w:rPr>
        <w:t xml:space="preserve">centra </w:t>
      </w:r>
      <w:r w:rsidRPr="00797EA7">
        <w:rPr>
          <w:rFonts w:cstheme="minorHAnsi"/>
          <w:lang w:val="cs-CZ"/>
        </w:rPr>
        <w:t xml:space="preserve">poskytovala podporu pro formování dovedností jako hnací síly zelené transformace. Výsledky výzkumu ukazují, že </w:t>
      </w:r>
      <w:r w:rsidR="00AF41F3" w:rsidRPr="00797EA7">
        <w:rPr>
          <w:rFonts w:cstheme="minorHAnsi"/>
          <w:lang w:val="cs-CZ"/>
        </w:rPr>
        <w:t xml:space="preserve">vysokoškolští učitelé a studenti se shodují v tom, </w:t>
      </w:r>
      <w:r w:rsidR="00D374C4" w:rsidRPr="00797EA7">
        <w:rPr>
          <w:rFonts w:cstheme="minorHAnsi"/>
          <w:lang w:val="cs-CZ"/>
        </w:rPr>
        <w:t xml:space="preserve">že studijní plány jsou nejdůležitější příležitostí k získání "zelených dovedností" (vysokoškolští učitelé: 3,48, studenti: </w:t>
      </w:r>
      <w:r w:rsidR="0019690F" w:rsidRPr="00797EA7">
        <w:rPr>
          <w:rFonts w:cstheme="minorHAnsi"/>
          <w:lang w:val="cs-CZ"/>
        </w:rPr>
        <w:t xml:space="preserve">3,28). </w:t>
      </w:r>
    </w:p>
    <w:p w:rsidR="00B04D89" w:rsidRPr="00797EA7" w:rsidRDefault="00D374C4">
      <w:pPr>
        <w:spacing w:after="120"/>
        <w:jc w:val="both"/>
        <w:rPr>
          <w:rFonts w:cstheme="minorHAnsi"/>
          <w:b/>
          <w:bCs/>
          <w:lang w:val="cs-CZ"/>
        </w:rPr>
      </w:pPr>
      <w:r w:rsidRPr="00797EA7">
        <w:rPr>
          <w:rFonts w:cstheme="minorHAnsi"/>
          <w:lang w:val="cs-CZ"/>
        </w:rPr>
        <w:t xml:space="preserve">Poměrně vysoké procento učitelů </w:t>
      </w:r>
      <w:r w:rsidR="00A46B5A" w:rsidRPr="00797EA7">
        <w:rPr>
          <w:rFonts w:cstheme="minorHAnsi"/>
          <w:lang w:val="cs-CZ"/>
        </w:rPr>
        <w:t>(</w:t>
      </w:r>
      <w:r w:rsidRPr="00797EA7">
        <w:rPr>
          <w:rFonts w:cstheme="minorHAnsi"/>
          <w:lang w:val="cs-CZ"/>
        </w:rPr>
        <w:t>více než 30 %</w:t>
      </w:r>
      <w:r w:rsidR="00A46B5A" w:rsidRPr="00797EA7">
        <w:rPr>
          <w:rFonts w:cstheme="minorHAnsi"/>
          <w:lang w:val="cs-CZ"/>
        </w:rPr>
        <w:t xml:space="preserve">) </w:t>
      </w:r>
      <w:r w:rsidRPr="00797EA7">
        <w:rPr>
          <w:rFonts w:cstheme="minorHAnsi"/>
          <w:lang w:val="cs-CZ"/>
        </w:rPr>
        <w:t xml:space="preserve">tvrdí, že ve vzdělávacích programech je příliš mnoho teorie. To může naznačovat potřebu obohacení nebo nahrazení obsahu studijních programů praktičtějšími případovými studiemi. Za zmínku stojí, že učitelé také navrhují </w:t>
      </w:r>
      <w:r w:rsidR="00382A27" w:rsidRPr="00797EA7">
        <w:rPr>
          <w:rFonts w:cstheme="minorHAnsi"/>
          <w:lang w:val="cs-CZ"/>
        </w:rPr>
        <w:t xml:space="preserve">více </w:t>
      </w:r>
      <w:r w:rsidRPr="00797EA7">
        <w:rPr>
          <w:rFonts w:cstheme="minorHAnsi"/>
          <w:lang w:val="cs-CZ"/>
        </w:rPr>
        <w:t>praxe pro utváření vazby mezi environmentálními a ekonomickými otázkami (27,2 %). V další možnosti učitelé označili skupinovou práci jako prvek rozvoje těchto dovedností. Při výuce studentů argumentovat environmentálními otázkami s ekonomickými přínosy učitelé uvedli, že využívají především také "případové studie" ve formě prezentací (51,5 %)</w:t>
      </w:r>
      <w:r w:rsidR="00A46B5A" w:rsidRPr="00797EA7">
        <w:rPr>
          <w:rFonts w:cstheme="minorHAnsi"/>
          <w:lang w:val="cs-CZ"/>
        </w:rPr>
        <w:t>.</w:t>
      </w:r>
      <w:r w:rsidRPr="00797EA7">
        <w:rPr>
          <w:rFonts w:cstheme="minorHAnsi"/>
          <w:lang w:val="cs-CZ"/>
        </w:rPr>
        <w:t xml:space="preserve"> Jako druhý nástroj učitelé uvedli "hodnocení rozhodnutí aktérů" (39,4 %).</w:t>
      </w:r>
      <w:r w:rsidR="00E06493" w:rsidRPr="00797EA7">
        <w:rPr>
          <w:rFonts w:cstheme="minorHAnsi"/>
          <w:lang w:val="cs-CZ"/>
        </w:rPr>
        <w:t xml:space="preserve"> Podobně je tomu s hodnocením této situace i ve skupině studentů. Ti </w:t>
      </w:r>
      <w:r w:rsidR="00E06493" w:rsidRPr="00797EA7">
        <w:rPr>
          <w:rFonts w:cstheme="minorHAnsi"/>
          <w:bCs/>
          <w:color w:val="000000" w:themeColor="text1"/>
          <w:lang w:val="cs-CZ"/>
        </w:rPr>
        <w:t xml:space="preserve">uvedli, že </w:t>
      </w:r>
      <w:r w:rsidR="00E06493" w:rsidRPr="00797EA7">
        <w:rPr>
          <w:lang w:val="cs-CZ"/>
        </w:rPr>
        <w:t xml:space="preserve">nejvýznamnější překážka souvisí s přílišným množstvím teorie (49,6 %). Studenti </w:t>
      </w:r>
      <w:r w:rsidR="00E06493" w:rsidRPr="00797EA7">
        <w:rPr>
          <w:rFonts w:cstheme="minorHAnsi"/>
          <w:color w:val="000000" w:themeColor="text1"/>
          <w:lang w:val="cs-CZ"/>
        </w:rPr>
        <w:t xml:space="preserve">se také hlásí k nedostatečnému počtu případových studií (34,04 %). </w:t>
      </w:r>
      <w:r w:rsidR="00A971FB" w:rsidRPr="00797EA7">
        <w:rPr>
          <w:rFonts w:cstheme="minorHAnsi"/>
          <w:lang w:val="cs-CZ"/>
        </w:rPr>
        <w:t xml:space="preserve">Tyto výsledky mohou naznačovat, že je třeba studijní programy korigovat a obohatit je o praktické </w:t>
      </w:r>
      <w:r w:rsidR="004C3110" w:rsidRPr="00797EA7">
        <w:rPr>
          <w:rFonts w:cstheme="minorHAnsi"/>
          <w:lang w:val="cs-CZ"/>
        </w:rPr>
        <w:t>části</w:t>
      </w:r>
      <w:r w:rsidR="00A971FB" w:rsidRPr="00797EA7">
        <w:rPr>
          <w:rFonts w:cstheme="minorHAnsi"/>
          <w:lang w:val="cs-CZ"/>
        </w:rPr>
        <w:t xml:space="preserve">. Třetí výzkumnou hypotézu </w:t>
      </w:r>
      <w:r w:rsidR="00A971FB" w:rsidRPr="00797EA7">
        <w:rPr>
          <w:rFonts w:cstheme="minorHAnsi"/>
          <w:b/>
          <w:bCs/>
          <w:i/>
          <w:iCs/>
          <w:color w:val="538135" w:themeColor="accent6" w:themeShade="BF"/>
          <w:lang w:val="cs-CZ"/>
        </w:rPr>
        <w:t>H</w:t>
      </w:r>
      <w:r w:rsidR="00A971FB" w:rsidRPr="00797EA7">
        <w:rPr>
          <w:rFonts w:cstheme="minorHAnsi"/>
          <w:b/>
          <w:bCs/>
          <w:i/>
          <w:iCs/>
          <w:color w:val="538135" w:themeColor="accent6" w:themeShade="BF"/>
          <w:vertAlign w:val="subscript"/>
          <w:lang w:val="cs-CZ"/>
        </w:rPr>
        <w:t>3</w:t>
      </w:r>
      <w:r w:rsidR="00A971FB" w:rsidRPr="00797EA7">
        <w:rPr>
          <w:rFonts w:cstheme="minorHAnsi"/>
          <w:lang w:val="cs-CZ"/>
        </w:rPr>
        <w:t xml:space="preserve"> lze tedy </w:t>
      </w:r>
      <w:r w:rsidR="00A971FB" w:rsidRPr="00797EA7">
        <w:rPr>
          <w:rFonts w:cstheme="minorHAnsi"/>
          <w:b/>
          <w:bCs/>
          <w:lang w:val="cs-CZ"/>
        </w:rPr>
        <w:t>přijmout</w:t>
      </w:r>
      <w:r w:rsidR="001B7C6E" w:rsidRPr="00797EA7">
        <w:rPr>
          <w:rFonts w:cstheme="minorHAnsi"/>
          <w:b/>
          <w:bCs/>
          <w:lang w:val="cs-CZ"/>
        </w:rPr>
        <w:t>.</w:t>
      </w:r>
    </w:p>
    <w:p w:rsidR="00B04D89" w:rsidRPr="00797EA7" w:rsidRDefault="00A46B5A">
      <w:pPr>
        <w:pStyle w:val="Nadpis1"/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</w:pPr>
      <w:r w:rsidRPr="00797EA7">
        <w:rPr>
          <w:rFonts w:cstheme="minorHAnsi"/>
          <w:b/>
          <w:bCs/>
          <w:lang w:val="cs-CZ"/>
        </w:rPr>
        <w:br w:type="column"/>
      </w:r>
      <w:bookmarkStart w:id="38" w:name="_Toc117681710"/>
      <w:r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lastRenderedPageBreak/>
        <w:t xml:space="preserve">Kapitola </w:t>
      </w:r>
      <w:r w:rsidR="00C97F43"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6</w:t>
      </w:r>
      <w:r w:rsidRPr="00797EA7">
        <w:rPr>
          <w:rStyle w:val="spellingerror"/>
          <w:rFonts w:ascii="Calibri" w:hAnsi="Calibri" w:cs="Calibri"/>
          <w:b/>
          <w:bCs/>
          <w:color w:val="538135" w:themeColor="accent6" w:themeShade="BF"/>
          <w:lang w:val="cs-CZ"/>
        </w:rPr>
        <w:t>. Teoretický model programu laboratoří SDG</w:t>
      </w:r>
      <w:bookmarkEnd w:id="38"/>
    </w:p>
    <w:p w:rsidR="00C42321" w:rsidRPr="00797EA7" w:rsidRDefault="00C42321" w:rsidP="001B4013">
      <w:pPr>
        <w:spacing w:before="120" w:after="120"/>
        <w:jc w:val="both"/>
        <w:rPr>
          <w:rFonts w:cstheme="minorHAnsi"/>
          <w:lang w:val="cs-CZ"/>
        </w:rPr>
      </w:pP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bookmarkStart w:id="39" w:name="_Hlk117683807"/>
      <w:r w:rsidRPr="00797EA7">
        <w:rPr>
          <w:rFonts w:cstheme="minorHAnsi"/>
          <w:lang w:val="cs-CZ"/>
        </w:rPr>
        <w:t xml:space="preserve">Program </w:t>
      </w:r>
      <w:proofErr w:type="spellStart"/>
      <w:r w:rsidRPr="00797EA7">
        <w:rPr>
          <w:rFonts w:cstheme="minorHAnsi"/>
          <w:lang w:val="cs-CZ"/>
        </w:rPr>
        <w:t>Socially</w:t>
      </w:r>
      <w:proofErr w:type="spellEnd"/>
      <w:r w:rsidRPr="00797EA7">
        <w:rPr>
          <w:rFonts w:cstheme="minorHAnsi"/>
          <w:lang w:val="cs-CZ"/>
        </w:rPr>
        <w:t xml:space="preserve"> </w:t>
      </w:r>
      <w:proofErr w:type="spellStart"/>
      <w:r w:rsidRPr="00797EA7">
        <w:rPr>
          <w:rFonts w:cstheme="minorHAnsi"/>
          <w:lang w:val="cs-CZ"/>
        </w:rPr>
        <w:t>Driven</w:t>
      </w:r>
      <w:proofErr w:type="spellEnd"/>
      <w:r w:rsidRPr="00797EA7">
        <w:rPr>
          <w:rFonts w:cstheme="minorHAnsi"/>
          <w:lang w:val="cs-CZ"/>
        </w:rPr>
        <w:t xml:space="preserve"> Green </w:t>
      </w:r>
      <w:proofErr w:type="spellStart"/>
      <w:r w:rsidRPr="00797EA7">
        <w:rPr>
          <w:rFonts w:cstheme="minorHAnsi"/>
          <w:lang w:val="cs-CZ"/>
        </w:rPr>
        <w:t>Labs</w:t>
      </w:r>
      <w:proofErr w:type="spellEnd"/>
      <w:r w:rsidRPr="00797EA7">
        <w:rPr>
          <w:rFonts w:cstheme="minorHAnsi"/>
          <w:lang w:val="cs-CZ"/>
        </w:rPr>
        <w:t xml:space="preserve"> je založen na vytvoření inovativního a uceleného vzdělávacího programu, který nabídne vysokoškolským učitelům v oborech souvisejících se SE všechny potřebné dovednosti, metodiky a znalosti k podpoře nové generace zelených sociálních podnikatelů.</w:t>
      </w:r>
    </w:p>
    <w:bookmarkEnd w:id="39"/>
    <w:p w:rsidR="00B04D89" w:rsidRPr="00797EA7" w:rsidRDefault="00A46B5A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lang w:val="cs-CZ"/>
        </w:rPr>
      </w:pPr>
      <w:r w:rsidRPr="00797EA7">
        <w:rPr>
          <w:rFonts w:asciiTheme="minorHAnsi" w:hAnsiTheme="minorHAnsi" w:cstheme="minorHAnsi"/>
          <w:lang w:val="cs-CZ"/>
        </w:rPr>
        <w:t xml:space="preserve">Program nabízí nové, smíšené učení a flexibilní způsoby odborné přípravy a učení, které zahrnují metodiky zaměřené na lidi a více zúčastněných stran (metodika živých laboratoří) a praktické přístupy (učení založené na simulaci) pro rozvoj zelené gramotnosti a dovedností učitelů a studentů SE a vytváření smysluplných systémů zelené </w:t>
      </w:r>
      <w:r w:rsidR="001B4013" w:rsidRPr="00797EA7">
        <w:rPr>
          <w:rFonts w:asciiTheme="minorHAnsi" w:hAnsiTheme="minorHAnsi" w:cstheme="minorHAnsi"/>
          <w:lang w:val="cs-CZ"/>
        </w:rPr>
        <w:t xml:space="preserve">spolupráce v </w:t>
      </w:r>
      <w:r w:rsidRPr="00797EA7">
        <w:rPr>
          <w:rFonts w:asciiTheme="minorHAnsi" w:hAnsiTheme="minorHAnsi" w:cstheme="minorHAnsi"/>
          <w:lang w:val="cs-CZ"/>
        </w:rPr>
        <w:t xml:space="preserve">rámci různých zúčastněných stran SE. Vzdělávací projekt nabídne několik kombinovaných vzdělávacích prvků (MOOC, online příručka pro učitele, letní škola, kapesní online kurzy, prezenční vzdělávací semináře) a připravené zdroje (SDG </w:t>
      </w:r>
      <w:proofErr w:type="spellStart"/>
      <w:r w:rsidRPr="00797EA7">
        <w:rPr>
          <w:rFonts w:asciiTheme="minorHAnsi" w:hAnsiTheme="minorHAnsi" w:cstheme="minorHAnsi"/>
          <w:lang w:val="cs-CZ"/>
        </w:rPr>
        <w:t>labs</w:t>
      </w:r>
      <w:proofErr w:type="spellEnd"/>
      <w:r w:rsidRPr="00797EA7">
        <w:rPr>
          <w:rFonts w:asciiTheme="minorHAnsi" w:hAnsiTheme="minorHAnsi" w:cstheme="minorHAnsi"/>
          <w:lang w:val="cs-CZ"/>
        </w:rPr>
        <w:t xml:space="preserve"> Digital </w:t>
      </w:r>
      <w:proofErr w:type="spellStart"/>
      <w:r w:rsidRPr="00797EA7">
        <w:rPr>
          <w:rFonts w:asciiTheme="minorHAnsi" w:hAnsiTheme="minorHAnsi" w:cstheme="minorHAnsi"/>
          <w:lang w:val="cs-CZ"/>
        </w:rPr>
        <w:t>Gallery</w:t>
      </w:r>
      <w:proofErr w:type="spellEnd"/>
      <w:r w:rsidRPr="00797EA7">
        <w:rPr>
          <w:rFonts w:asciiTheme="minorHAnsi" w:hAnsiTheme="minorHAnsi" w:cstheme="minorHAnsi"/>
          <w:lang w:val="cs-CZ"/>
        </w:rPr>
        <w:t xml:space="preserve">), které nabídnou vzdělávací program pro učitele a studenty, a to jak virtuální, tak fyzické aktivity. </w:t>
      </w:r>
    </w:p>
    <w:p w:rsidR="00B04D89" w:rsidRPr="00797EA7" w:rsidRDefault="00A46B5A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lang w:val="cs-CZ"/>
        </w:rPr>
      </w:pPr>
      <w:r w:rsidRPr="00797EA7">
        <w:rPr>
          <w:rFonts w:asciiTheme="minorHAnsi" w:hAnsiTheme="minorHAnsi" w:cstheme="minorHAnsi"/>
          <w:lang w:val="cs-CZ"/>
        </w:rPr>
        <w:t xml:space="preserve">Vzdělávací program SDG </w:t>
      </w:r>
      <w:proofErr w:type="spellStart"/>
      <w:r w:rsidRPr="00797EA7">
        <w:rPr>
          <w:rFonts w:asciiTheme="minorHAnsi" w:hAnsiTheme="minorHAnsi" w:cstheme="minorHAnsi"/>
          <w:lang w:val="cs-CZ"/>
        </w:rPr>
        <w:t>Labs</w:t>
      </w:r>
      <w:proofErr w:type="spellEnd"/>
      <w:r w:rsidRPr="00797EA7">
        <w:rPr>
          <w:rFonts w:asciiTheme="minorHAnsi" w:hAnsiTheme="minorHAnsi" w:cstheme="minorHAnsi"/>
          <w:lang w:val="cs-CZ"/>
        </w:rPr>
        <w:t xml:space="preserve"> má být navržen tak, aby podnítil snahy o:  </w:t>
      </w:r>
    </w:p>
    <w:p w:rsidR="00B04D89" w:rsidRPr="00797EA7" w:rsidRDefault="00A46B5A">
      <w:pPr>
        <w:pStyle w:val="Normlnweb"/>
        <w:numPr>
          <w:ilvl w:val="0"/>
          <w:numId w:val="30"/>
        </w:numPr>
        <w:spacing w:before="0" w:beforeAutospacing="0" w:after="120" w:afterAutospacing="0"/>
        <w:ind w:left="425" w:hanging="357"/>
        <w:jc w:val="both"/>
        <w:rPr>
          <w:rFonts w:asciiTheme="minorHAnsi" w:hAnsiTheme="minorHAnsi" w:cstheme="minorHAnsi"/>
          <w:lang w:val="cs-CZ"/>
        </w:rPr>
      </w:pPr>
      <w:r w:rsidRPr="00797EA7">
        <w:rPr>
          <w:rFonts w:asciiTheme="minorHAnsi" w:hAnsiTheme="minorHAnsi" w:cstheme="minorHAnsi"/>
          <w:lang w:val="cs-CZ"/>
        </w:rPr>
        <w:t>definování současného a budoucího nedostatku zelených dovedností v zemích JV Evropy;</w:t>
      </w:r>
    </w:p>
    <w:p w:rsidR="00B04D89" w:rsidRPr="00797EA7" w:rsidRDefault="00A46B5A">
      <w:pPr>
        <w:pStyle w:val="Normlnweb"/>
        <w:numPr>
          <w:ilvl w:val="0"/>
          <w:numId w:val="30"/>
        </w:numPr>
        <w:spacing w:before="0" w:beforeAutospacing="0" w:after="120" w:afterAutospacing="0"/>
        <w:ind w:left="425" w:hanging="357"/>
        <w:jc w:val="both"/>
        <w:rPr>
          <w:rFonts w:asciiTheme="minorHAnsi" w:hAnsiTheme="minorHAnsi" w:cstheme="minorHAnsi"/>
          <w:lang w:val="cs-CZ"/>
        </w:rPr>
      </w:pPr>
      <w:r w:rsidRPr="00797EA7">
        <w:rPr>
          <w:rFonts w:asciiTheme="minorHAnsi" w:hAnsiTheme="minorHAnsi" w:cstheme="minorHAnsi"/>
          <w:lang w:val="cs-CZ"/>
        </w:rPr>
        <w:t>poskytnutí online úložiště s širokou škálou případových studií a připravených aktivit, nástrojů a zdrojů pro spolutvorbu a digitálního balíčku plánů přednášek podporujících rozvoj sociálních a zelených podnikatelských kompetencí;</w:t>
      </w:r>
    </w:p>
    <w:p w:rsidR="00B04D89" w:rsidRPr="00797EA7" w:rsidRDefault="00A46B5A">
      <w:pPr>
        <w:pStyle w:val="Normlnweb"/>
        <w:numPr>
          <w:ilvl w:val="0"/>
          <w:numId w:val="30"/>
        </w:numPr>
        <w:spacing w:before="0" w:beforeAutospacing="0" w:after="120" w:afterAutospacing="0"/>
        <w:ind w:left="425" w:hanging="357"/>
        <w:jc w:val="both"/>
        <w:rPr>
          <w:rFonts w:asciiTheme="minorHAnsi" w:hAnsiTheme="minorHAnsi" w:cstheme="minorHAnsi"/>
          <w:lang w:val="cs-CZ"/>
        </w:rPr>
      </w:pPr>
      <w:r w:rsidRPr="00797EA7">
        <w:rPr>
          <w:rFonts w:asciiTheme="minorHAnsi" w:hAnsiTheme="minorHAnsi" w:cstheme="minorHAnsi"/>
          <w:lang w:val="cs-CZ"/>
        </w:rPr>
        <w:t>poskytnout vysokoškolským učitelům inovativní a flexibilní možnost školení o tom, jak začlenit otázky životního prostředí do učebních osnov SE; MOOC "Sociální ekonomika pro zelený přechod" se bude zabývat tím, jak některé klíčové oblasti podnikání SE v současnosti vedou k zelenému růstu;</w:t>
      </w:r>
    </w:p>
    <w:p w:rsidR="00B04D89" w:rsidRPr="00797EA7" w:rsidRDefault="00A46B5A">
      <w:pPr>
        <w:pStyle w:val="Normlnweb"/>
        <w:numPr>
          <w:ilvl w:val="0"/>
          <w:numId w:val="30"/>
        </w:numPr>
        <w:spacing w:before="0" w:beforeAutospacing="0" w:after="120" w:afterAutospacing="0"/>
        <w:ind w:left="425" w:hanging="357"/>
        <w:jc w:val="both"/>
        <w:rPr>
          <w:rFonts w:asciiTheme="minorHAnsi" w:hAnsiTheme="minorHAnsi" w:cstheme="minorHAnsi"/>
          <w:lang w:val="cs-CZ"/>
        </w:rPr>
      </w:pPr>
      <w:r w:rsidRPr="00797EA7">
        <w:rPr>
          <w:rFonts w:asciiTheme="minorHAnsi" w:hAnsiTheme="minorHAnsi" w:cstheme="minorHAnsi"/>
          <w:lang w:val="cs-CZ"/>
        </w:rPr>
        <w:t>poskytnout studentům znalosti a dovednosti, které odpovídají požadavkům zeleného trhu práce.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lang w:val="cs-CZ" w:eastAsia="pl-PL"/>
        </w:rPr>
      </w:pPr>
      <w:r w:rsidRPr="00797EA7">
        <w:rPr>
          <w:rFonts w:eastAsia="Times New Roman" w:cstheme="minorHAnsi"/>
          <w:lang w:val="cs-CZ" w:eastAsia="pl-PL"/>
        </w:rPr>
        <w:t xml:space="preserve">Inovativnost vzdělávacího programu SDG </w:t>
      </w:r>
      <w:proofErr w:type="spellStart"/>
      <w:r w:rsidRPr="00797EA7">
        <w:rPr>
          <w:rFonts w:eastAsia="Times New Roman" w:cstheme="minorHAnsi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 spočívá v následujících očekávaných výsledcích:</w:t>
      </w:r>
    </w:p>
    <w:p w:rsidR="00B04D89" w:rsidRPr="00797EA7" w:rsidRDefault="00A46B5A">
      <w:pPr>
        <w:pStyle w:val="Odstavecseseznamem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eastAsia="Times New Roman" w:cstheme="minorHAnsi"/>
          <w:lang w:val="cs-CZ" w:eastAsia="pl-PL"/>
        </w:rPr>
      </w:pPr>
      <w:r w:rsidRPr="00797EA7">
        <w:rPr>
          <w:rFonts w:eastAsia="Times New Roman" w:cstheme="minorHAnsi"/>
          <w:lang w:val="cs-CZ" w:eastAsia="pl-PL"/>
        </w:rPr>
        <w:t xml:space="preserve">Digitální galerie SDG </w:t>
      </w:r>
      <w:proofErr w:type="spellStart"/>
      <w:r w:rsidRPr="00797EA7">
        <w:rPr>
          <w:rFonts w:eastAsia="Times New Roman" w:cstheme="minorHAnsi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lang w:val="cs-CZ" w:eastAsia="pl-PL"/>
        </w:rPr>
        <w:t>, která poskytne online úložiště s širokou škálou připravených a interaktivních spolutvůrčích aktivit, nástrojů a zdrojů a digitální balíček plánů přednášek podporujících rozvoj sociálních a zelených podnikatelských kompetencí a online screeningový nástroj s případovými studiemi SEE, které působí v hospodářských odvětvích s environmentálními cíli;</w:t>
      </w:r>
    </w:p>
    <w:p w:rsidR="00B04D89" w:rsidRPr="00797EA7" w:rsidRDefault="00A46B5A">
      <w:pPr>
        <w:pStyle w:val="Odstavecseseznamem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eastAsia="Times New Roman" w:cstheme="minorHAnsi"/>
          <w:lang w:val="cs-CZ" w:eastAsia="pl-PL"/>
        </w:rPr>
      </w:pPr>
      <w:r w:rsidRPr="00797EA7">
        <w:rPr>
          <w:rFonts w:eastAsia="Times New Roman" w:cstheme="minorHAnsi"/>
          <w:lang w:val="cs-CZ" w:eastAsia="pl-PL"/>
        </w:rPr>
        <w:t xml:space="preserve">Program budování kapacit SDG </w:t>
      </w:r>
      <w:proofErr w:type="spellStart"/>
      <w:r w:rsidRPr="00797EA7">
        <w:rPr>
          <w:rFonts w:eastAsia="Times New Roman" w:cstheme="minorHAnsi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, který poskytne vysokoškolským učitelům flexibilní školení o tom, jak začlenit otázky související s životním prostředím do učebních osnov SE, vybavit studenty znalostmi a dovednostmi, které jsou v souladu s požadavky zeleného trhu práce, a vytvořit místní systémy zelené spolupráce </w:t>
      </w:r>
      <w:r w:rsidR="001B4013" w:rsidRPr="00797EA7">
        <w:rPr>
          <w:rFonts w:eastAsia="Times New Roman" w:cstheme="minorHAnsi"/>
          <w:lang w:val="cs-CZ" w:eastAsia="pl-PL"/>
        </w:rPr>
        <w:t xml:space="preserve">v </w:t>
      </w:r>
      <w:r w:rsidRPr="00797EA7">
        <w:rPr>
          <w:rFonts w:eastAsia="Times New Roman" w:cstheme="minorHAnsi"/>
          <w:lang w:val="cs-CZ" w:eastAsia="pl-PL"/>
        </w:rPr>
        <w:t xml:space="preserve">rámci různých zúčastněných stran SE; učitelům bude poskytnut masivní otevřený online kurz "Sociální ekonomika pro zelený přechod"; </w:t>
      </w:r>
    </w:p>
    <w:p w:rsidR="00B04D89" w:rsidRPr="00797EA7" w:rsidRDefault="00A46B5A">
      <w:pPr>
        <w:pStyle w:val="Odstavecseseznamem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eastAsia="Times New Roman" w:cstheme="minorHAnsi"/>
          <w:lang w:val="cs-CZ" w:eastAsia="pl-PL"/>
        </w:rPr>
      </w:pPr>
      <w:r w:rsidRPr="00797EA7">
        <w:rPr>
          <w:rFonts w:eastAsia="Times New Roman" w:cstheme="minorHAnsi"/>
          <w:lang w:val="cs-CZ" w:eastAsia="pl-PL"/>
        </w:rPr>
        <w:t xml:space="preserve">Podnikové simulační modely SDG </w:t>
      </w:r>
      <w:proofErr w:type="spellStart"/>
      <w:r w:rsidRPr="00797EA7">
        <w:rPr>
          <w:rFonts w:eastAsia="Times New Roman" w:cstheme="minorHAnsi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lang w:val="cs-CZ" w:eastAsia="pl-PL"/>
        </w:rPr>
        <w:t xml:space="preserve">, které nabídnou balíček více než 20 interaktivních výukových prostředí sloužících jako nástroje pro studenty SE, aby mohli volně navrhovat a experimentovat na vlastních environmentálních simulačních modelech SE podnikání a pochopit důsledky skutečných obchodních rozhodnutí; </w:t>
      </w:r>
    </w:p>
    <w:p w:rsidR="00B04D89" w:rsidRPr="00797EA7" w:rsidRDefault="009C56D3">
      <w:pPr>
        <w:pStyle w:val="Odstavecseseznamem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eastAsia="Times New Roman" w:cstheme="minorHAnsi"/>
          <w:lang w:val="cs-CZ" w:eastAsia="pl-PL"/>
        </w:rPr>
      </w:pPr>
      <w:r w:rsidRPr="00797EA7">
        <w:rPr>
          <w:rFonts w:eastAsia="Times New Roman" w:cstheme="minorHAnsi"/>
          <w:lang w:val="cs-CZ" w:eastAsia="pl-PL"/>
        </w:rPr>
        <w:lastRenderedPageBreak/>
        <w:t>P</w:t>
      </w:r>
      <w:r w:rsidR="00A46B5A" w:rsidRPr="00797EA7">
        <w:rPr>
          <w:rFonts w:eastAsia="Times New Roman" w:cstheme="minorHAnsi"/>
          <w:lang w:val="cs-CZ" w:eastAsia="pl-PL"/>
        </w:rPr>
        <w:t xml:space="preserve">rogram zvyšování kvalifikace studentů SDG </w:t>
      </w:r>
      <w:proofErr w:type="spellStart"/>
      <w:r w:rsidR="00A46B5A" w:rsidRPr="00797EA7">
        <w:rPr>
          <w:rFonts w:eastAsia="Times New Roman" w:cstheme="minorHAnsi"/>
          <w:lang w:val="cs-CZ" w:eastAsia="pl-PL"/>
        </w:rPr>
        <w:t>Labs</w:t>
      </w:r>
      <w:proofErr w:type="spellEnd"/>
      <w:r w:rsidR="00A46B5A" w:rsidRPr="00797EA7">
        <w:rPr>
          <w:rFonts w:eastAsia="Times New Roman" w:cstheme="minorHAnsi"/>
          <w:lang w:val="cs-CZ" w:eastAsia="pl-PL"/>
        </w:rPr>
        <w:t xml:space="preserve">, který nabídne kombinovaný vzdělávací balíček zahrnující teoretické i praktické prvky gramotnosti v oblasti zelených dovedností a environmentální udržitelnosti; soubor online kapesních kurzů, které studentům poskytnou vzrušující učení při experimentování v různých fázích SDG </w:t>
      </w:r>
      <w:proofErr w:type="spellStart"/>
      <w:r w:rsidR="00A46B5A" w:rsidRPr="00797EA7">
        <w:rPr>
          <w:rFonts w:eastAsia="Times New Roman" w:cstheme="minorHAnsi"/>
          <w:lang w:val="cs-CZ" w:eastAsia="pl-PL"/>
        </w:rPr>
        <w:t>Labs</w:t>
      </w:r>
      <w:proofErr w:type="spellEnd"/>
      <w:r w:rsidR="00A46B5A" w:rsidRPr="00797EA7">
        <w:rPr>
          <w:rFonts w:eastAsia="Times New Roman" w:cstheme="minorHAnsi"/>
          <w:lang w:val="cs-CZ" w:eastAsia="pl-PL"/>
        </w:rPr>
        <w:t xml:space="preserve"> (definovat , vymyslet, experimentovat, ověřit), a vzdělávací program na akademické půdě, který bude realizován prostřednictvím letní školy sloužící jako zkušebna pro celkový vzdělávací program. </w:t>
      </w:r>
    </w:p>
    <w:p w:rsidR="00A36F03" w:rsidRPr="00797EA7" w:rsidRDefault="00A36F03" w:rsidP="00A36F03">
      <w:pPr>
        <w:spacing w:before="120" w:after="120"/>
        <w:jc w:val="both"/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</w:pPr>
    </w:p>
    <w:p w:rsidR="00B04D89" w:rsidRPr="00797EA7" w:rsidRDefault="00A46B5A">
      <w:pPr>
        <w:spacing w:before="120" w:after="120"/>
        <w:jc w:val="both"/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 xml:space="preserve">Digitální galerie SDG </w:t>
      </w:r>
      <w:proofErr w:type="spellStart"/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>Lab</w:t>
      </w:r>
      <w:proofErr w:type="spellEnd"/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 xml:space="preserve"> 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Digitální galerie SDG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Lab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je soubor interaktivních výukových materiálů o environmentálních studiích a rozvoji ekologických dovedností, který má mentorům a učitelům poskytnout teoretické a praktické znalosti o rozvoji ekologických dovedností studentů. Bude sloužit jako jednotné místo pro výukové materiály, od otevřených vzdělávacích zdrojů a případových studií až po články a videa. Pokud jde o pedagogická kritéria, materiál je snadno pochopitelný a má jasné cíle výuky, je volný a interaktivní, chytlavý a poutavý, zaujme žáka a je relevantní k současným debatám o změně klimatu a životním prostředí.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Tento druh materiálu by měl žákovi poskytnout ucelenou představu o změnách životního prostředí a ekologických dovednostech, rozvíjet znalosti v klíčových oblastech souvisejících s problematikou životního prostředí, pomoci žákovi kriticky zhodnotit klíčové otázky změny klimatu. V rámci rozvoje tohoto zdroje projektových aktivit je třeba vytvořit celou řadu </w:t>
      </w:r>
      <w:r w:rsidR="0075467A" w:rsidRPr="00797EA7">
        <w:rPr>
          <w:rFonts w:eastAsia="Times New Roman" w:cstheme="minorHAnsi"/>
          <w:color w:val="000000" w:themeColor="text1"/>
          <w:lang w:val="cs-CZ" w:eastAsia="pl-PL"/>
        </w:rPr>
        <w:t>výstupů.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Jedná se o následující: 50 online zdrojů, které umožní vysokoškolským učitelům rozvíjet zelené dovednosti jejich studentů, soubor interaktivních výukových materiálů o studiu životního prostředí a rozvoji zelených dovedností. Všechny druhy těchto zdrojů mají být pečlivě zmapovány a vybrané testovány a doladěny, přeloženy do pěti jazyků a zveřejněny v online digitální galerii na vyhrazeném místě na webových stránkách projektu. </w:t>
      </w:r>
    </w:p>
    <w:p w:rsidR="0071787D" w:rsidRPr="00797EA7" w:rsidRDefault="0071787D" w:rsidP="00A36F03">
      <w:pPr>
        <w:spacing w:before="120"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 xml:space="preserve">Program budování kapacit SDG </w:t>
      </w:r>
      <w:proofErr w:type="spellStart"/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 xml:space="preserve"> pro učitele vysokých škol (MOOC, příručka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>)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Cílem tohoto modulu vzdělávacího projektu SDG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je vyškolit učitele vysokých škol, aby dokázali aplikovat program SDG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a začlenit environmentální témata do učebních osnov SE.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Na základě potřeb učitelů vysokých škol, které vyplynuly z výzkumné studie, bude vydána příručka pro učitele zaměřená na rozvoj obsahu, jak spustit a provozovat SDG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Lab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a jak se účastnit a přispívat ve fázích definování, vymýšlení, experimentování a ověřování. Kromě toho bude poskytnut rychlý průvodce pro MOOC. Stejně jako příručka pro učitele o používání výuky založené na simulaci. 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MOOC "Sociální ekonomika pro zelený přechod" bude mít strukturu a témata formulovaná na základě výzkumné studie v oblastech, jako jsou: obnovitelná energie, udržitelné bydlení, udržitelné potravinové systémy, oběhové hospodářství. Poté bude provedeno testování a doladění MOOC s využitím interního testování mezi partnery a doladění jednou z partnerských univerzit. Testování příručky v rámci pedagogického sboru zajistí partnerské univerzity, a to v průběhu online workshopů pořádaných partnerskými univerzitami. Kromě toho se uskuteční řada vzdělávacích seminářů, které seznámí pedagogy a přimějí je aplikovat a implementovat vzdělávací program SDG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, a to ve smíšené formulaci (osobní vzdělávací seminář a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koučovací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sezení,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webináře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lang w:val="cs-CZ" w:eastAsia="pl-PL"/>
        </w:rPr>
        <w:t>mentoring</w:t>
      </w:r>
      <w:proofErr w:type="spellEnd"/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 a poradenská sezení).</w:t>
      </w:r>
    </w:p>
    <w:p w:rsidR="0071787D" w:rsidRPr="00797EA7" w:rsidRDefault="0071787D" w:rsidP="00D81392">
      <w:pPr>
        <w:spacing w:before="120"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</w:p>
    <w:p w:rsidR="00B04D89" w:rsidRPr="00797EA7" w:rsidRDefault="00A46B5A">
      <w:pPr>
        <w:spacing w:after="120"/>
        <w:jc w:val="both"/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 xml:space="preserve">Obchodní simulace pro studenty SDG </w:t>
      </w:r>
      <w:proofErr w:type="spellStart"/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>Labs</w:t>
      </w:r>
      <w:proofErr w:type="spellEnd"/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cstheme="minorHAnsi"/>
          <w:lang w:val="cs-CZ"/>
        </w:rPr>
        <w:t>Podnikové simulační modely nabídnou balíček více než 20 interaktivních výukových prostředí, která budou sloužit jako nástroje pro studenty SE, aby mohli volně navrhovat a experimentovat na vlastních environmentálních simulačních modelech podnikání SE.</w:t>
      </w:r>
    </w:p>
    <w:p w:rsidR="0071787D" w:rsidRPr="00797EA7" w:rsidRDefault="0071787D" w:rsidP="00D81392">
      <w:pPr>
        <w:spacing w:before="120"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</w:p>
    <w:p w:rsidR="00B04D89" w:rsidRPr="00797EA7" w:rsidRDefault="00A46B5A">
      <w:pPr>
        <w:spacing w:after="120"/>
        <w:jc w:val="both"/>
        <w:rPr>
          <w:rFonts w:eastAsiaTheme="minorEastAsia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 xml:space="preserve">SDG </w:t>
      </w:r>
      <w:proofErr w:type="spellStart"/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>Labs</w:t>
      </w:r>
      <w:proofErr w:type="spellEnd"/>
      <w:r w:rsidRPr="00797EA7">
        <w:rPr>
          <w:rFonts w:eastAsia="Times New Roman" w:cstheme="minorHAnsi"/>
          <w:b/>
          <w:bCs/>
          <w:i/>
          <w:iCs/>
          <w:color w:val="000000" w:themeColor="text1"/>
          <w:lang w:val="cs-CZ" w:eastAsia="pl-PL"/>
        </w:rPr>
        <w:t xml:space="preserve"> pro studenty (on-line a výukový program na letní škole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>)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Podstatou programu zvyšování kvalifikace SDG </w:t>
      </w:r>
      <w:proofErr w:type="spellStart"/>
      <w:r w:rsidRPr="00797EA7">
        <w:rPr>
          <w:rFonts w:cstheme="minorHAnsi"/>
          <w:lang w:val="cs-CZ"/>
        </w:rPr>
        <w:t>Lab</w:t>
      </w:r>
      <w:proofErr w:type="spellEnd"/>
      <w:r w:rsidRPr="00797EA7">
        <w:rPr>
          <w:rFonts w:cstheme="minorHAnsi"/>
          <w:lang w:val="cs-CZ"/>
        </w:rPr>
        <w:t xml:space="preserve"> je, že studenti komunikují a spolupracují s učiteli a zelenými SEE a připravují se na uplatnění perspektivních dovedností zeleného podnikatelského sektoru a lépe prozkoumávají potenciál SEE pro dosažení zeleného růstu.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cstheme="minorHAnsi"/>
          <w:lang w:val="cs-CZ"/>
        </w:rPr>
        <w:t xml:space="preserve">Program zvyšování kvalifikace nabízí studentům smíšený vzdělávací balíček zahrnující teoretické i praktické prvky gramotnosti v oblasti zelených dovedností a environmentální udržitelnosti, jako je například soubor kapesních kurzů, které studentům poskytnou online vzdělávací cestu, a vzdělávací program na akademické půdě, který bude realizován prostřednictvím letní školy "SDG </w:t>
      </w:r>
      <w:proofErr w:type="spellStart"/>
      <w:r w:rsidRPr="00797EA7">
        <w:rPr>
          <w:rFonts w:cstheme="minorHAnsi"/>
          <w:lang w:val="cs-CZ"/>
        </w:rPr>
        <w:t>Labs</w:t>
      </w:r>
      <w:proofErr w:type="spellEnd"/>
      <w:r w:rsidRPr="00797EA7">
        <w:rPr>
          <w:rFonts w:cstheme="minorHAnsi"/>
          <w:lang w:val="cs-CZ"/>
        </w:rPr>
        <w:t xml:space="preserve">" a bude sloužit jako zkušební laboratoř pro celkový vzdělávací program - spoluvytváření vlastních obchodních modelů SDG (např. udržitelné zemědělství, řešení v oblasti obnovitelných zdrojů energie) s aktéry zeleného podnikání v praxi (green </w:t>
      </w:r>
      <w:proofErr w:type="spellStart"/>
      <w:r w:rsidRPr="00797EA7">
        <w:rPr>
          <w:rFonts w:cstheme="minorHAnsi"/>
          <w:lang w:val="cs-CZ"/>
        </w:rPr>
        <w:t>SEEs</w:t>
      </w:r>
      <w:proofErr w:type="spellEnd"/>
      <w:r w:rsidRPr="00797EA7">
        <w:rPr>
          <w:rFonts w:cstheme="minorHAnsi"/>
          <w:lang w:val="cs-CZ"/>
        </w:rPr>
        <w:t>).</w:t>
      </w:r>
    </w:p>
    <w:p w:rsidR="0071787D" w:rsidRPr="00797EA7" w:rsidRDefault="0071787D" w:rsidP="00C42321">
      <w:pPr>
        <w:jc w:val="both"/>
        <w:textAlignment w:val="baseline"/>
        <w:rPr>
          <w:rFonts w:eastAsia="Times New Roman" w:cstheme="minorHAnsi"/>
          <w:i/>
          <w:iCs/>
          <w:color w:val="000000"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71787D" w:rsidRPr="00797EA7" w:rsidRDefault="0071787D" w:rsidP="00C42321">
      <w:pPr>
        <w:spacing w:after="120"/>
        <w:jc w:val="both"/>
        <w:textAlignment w:val="baseline"/>
        <w:rPr>
          <w:rFonts w:eastAsia="Times New Roman" w:cstheme="minorHAnsi"/>
          <w:b/>
          <w:bCs/>
          <w:lang w:val="cs-CZ" w:eastAsia="pl-PL"/>
        </w:rPr>
      </w:pPr>
    </w:p>
    <w:p w:rsidR="00B04D89" w:rsidRPr="00797EA7" w:rsidRDefault="00A46B5A">
      <w:pPr>
        <w:pStyle w:val="Nadpis1"/>
        <w:rPr>
          <w:rFonts w:asciiTheme="minorHAnsi" w:eastAsia="Times New Roman" w:hAnsiTheme="minorHAnsi" w:cstheme="minorHAnsi"/>
          <w:b/>
          <w:bCs/>
          <w:sz w:val="24"/>
          <w:szCs w:val="24"/>
          <w:lang w:val="cs-CZ" w:eastAsia="pl-PL"/>
        </w:rPr>
      </w:pPr>
      <w:r w:rsidRPr="00797EA7">
        <w:rPr>
          <w:rFonts w:eastAsia="Times New Roman"/>
          <w:lang w:val="cs-CZ" w:eastAsia="pl-PL"/>
        </w:rPr>
        <w:br w:type="column"/>
      </w:r>
      <w:bookmarkStart w:id="40" w:name="_Toc117681711"/>
      <w:r w:rsidR="0071787D" w:rsidRPr="00797EA7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4"/>
          <w:szCs w:val="24"/>
          <w:lang w:val="cs-CZ" w:eastAsia="pl-PL"/>
        </w:rPr>
        <w:lastRenderedPageBreak/>
        <w:t>Závěry</w:t>
      </w:r>
      <w:bookmarkEnd w:id="40"/>
    </w:p>
    <w:p w:rsidR="00C42321" w:rsidRPr="00797EA7" w:rsidRDefault="00C42321" w:rsidP="00D81392">
      <w:pPr>
        <w:spacing w:before="120" w:after="120"/>
        <w:jc w:val="both"/>
        <w:textAlignment w:val="baseline"/>
        <w:rPr>
          <w:rFonts w:eastAsia="Calibri" w:cstheme="minorHAnsi"/>
          <w:lang w:val="cs-CZ"/>
        </w:rPr>
      </w:pPr>
    </w:p>
    <w:p w:rsidR="00B04D89" w:rsidRPr="00797EA7" w:rsidRDefault="00A46B5A">
      <w:pPr>
        <w:spacing w:after="120"/>
        <w:jc w:val="both"/>
        <w:textAlignment w:val="baseline"/>
        <w:rPr>
          <w:rFonts w:eastAsia="Calibri" w:cstheme="minorHAnsi"/>
          <w:lang w:val="cs-CZ"/>
        </w:rPr>
      </w:pPr>
      <w:r w:rsidRPr="00797EA7">
        <w:rPr>
          <w:rFonts w:eastAsia="Calibri" w:cstheme="minorHAnsi"/>
          <w:lang w:val="cs-CZ"/>
        </w:rPr>
        <w:t xml:space="preserve">Proces ekologické transformace zahrnuje zapojení vlád, místních samospráv, podniků a nevládních organizací, místních sociálních komunit, z nichž každá má svou vlastní roli. </w:t>
      </w:r>
      <w:r w:rsidRPr="00797EA7">
        <w:rPr>
          <w:rFonts w:cstheme="minorHAnsi"/>
          <w:lang w:val="cs-CZ"/>
        </w:rPr>
        <w:t xml:space="preserve">Zelená transformace realizovaná prosazováním myšlenky odpovědnosti je </w:t>
      </w:r>
      <w:r w:rsidR="008316C9">
        <w:rPr>
          <w:rFonts w:cstheme="minorHAnsi"/>
          <w:lang w:val="cs-CZ"/>
        </w:rPr>
        <w:t>živá</w:t>
      </w:r>
      <w:bookmarkStart w:id="41" w:name="_GoBack"/>
      <w:bookmarkEnd w:id="41"/>
      <w:r w:rsidRPr="00797EA7">
        <w:rPr>
          <w:rFonts w:cstheme="minorHAnsi"/>
          <w:lang w:val="cs-CZ"/>
        </w:rPr>
        <w:t xml:space="preserve"> v činnosti tržních subjektů a viditelná opuštěním modelu lineární výroby a spotřeby ve prospěch ekonomiky s uzavřeným okruhem. Jejich cílem je zamezit vzniku odpadu a udržet suroviny v ekonomice co nejdéle, aby se snížil dopad člověka na životní prostředí. </w:t>
      </w:r>
      <w:r w:rsidRPr="00797EA7">
        <w:rPr>
          <w:rFonts w:eastAsia="Calibri" w:cstheme="minorHAnsi"/>
          <w:lang w:val="cs-CZ"/>
        </w:rPr>
        <w:t xml:space="preserve">Nevládní organizace, místní komunity, stát i podniky, ty, které mají vztah ke změně městského prostoru na udržitelný, a ty, které zavádějí výrobní procesy šetrné k životnímu prostředí, uplatňují rozmanité nástroje zelené transformace. Zvláštní zapojení do různých typů projektů šetrných k životnímu prostředí a zvláštní potenciál vnášejí v rámci změn zelené transformace subjekty sociální ekonomiky. </w:t>
      </w:r>
      <w:proofErr w:type="spellStart"/>
      <w:r w:rsidRPr="00797EA7">
        <w:rPr>
          <w:rFonts w:cstheme="minorHAnsi"/>
          <w:color w:val="000000" w:themeColor="text1"/>
          <w:lang w:val="cs-CZ"/>
        </w:rPr>
        <w:t>Sebeudržitelnost</w:t>
      </w:r>
      <w:proofErr w:type="spellEnd"/>
      <w:r w:rsidRPr="00797EA7">
        <w:rPr>
          <w:rFonts w:cstheme="minorHAnsi"/>
          <w:color w:val="000000" w:themeColor="text1"/>
          <w:lang w:val="cs-CZ"/>
        </w:rPr>
        <w:t>, tvorba hodnot, rychlé vyhodnocení nenaplněných potřeb a aspirací společnosti s následnými inovacemi a adaptacemi, založení soběstačné organizace zaměřené na dosahování zisku prostřednictvím kolektivního úsilí svých týmů o vytváření společenského prospěchu, to je to, co nabízejí hybridní organizace, které sledují trojí dno a vytvářejí společné dobro prostřednictvím dosahování zisku a přidávání společenské hodnoty. Tento druh hybridních organizací (subjektů sociální ekonomiky, včetně sociálních podniků) podporuje vytváření sociálního kapitálu s cílem podpořit pokročilejší sociální interakce a procesy učení ve společnostech s různými strukturami</w:t>
      </w:r>
      <w:r w:rsidRPr="00797EA7">
        <w:rPr>
          <w:rStyle w:val="Znakapoznpodarou"/>
          <w:rFonts w:cstheme="minorHAnsi"/>
          <w:color w:val="000000" w:themeColor="text1"/>
          <w:lang w:val="cs-CZ"/>
        </w:rPr>
        <w:t>.</w:t>
      </w:r>
      <w:r w:rsidRPr="00797EA7">
        <w:rPr>
          <w:rFonts w:cstheme="minorHAnsi"/>
          <w:color w:val="000000" w:themeColor="text1"/>
          <w:lang w:val="cs-CZ"/>
        </w:rPr>
        <w:t xml:space="preserve"> Zelené podnikání realizované SEE podporuje identifikaci cílů a budování hnutí směřujícího k vytváření lepšího životního prostředí, prosazování zelených výrobků a postupů, uvědomování si odpovědnosti lidí, uvádění na trhy a vytváření nových trhů s výrobky a službami šetrnými k životnímu prostředí, zaměřování zboží šetrného k životnímu prostředí na zákazníky schopné zaplatit za hodnotu výrobku přispívajícího k čistšímu životnímu prostředí, směřování k podpoře ze strany vlády a dalších institucí s potenciálem ovlivňovat politické činitele. Podpora ekologického podnikání zůstává zásadní v rámci étosu a struktur hybridní organizace, které jsou vedeny prostřednictvím kontextu jejich každodenní praxe, v jejímž rámci se občané orientují na sociální a environmentální služby a produkty. SEE jsou ve svém primárním cíli a struktuře explicitně environmentální (kvůli své sociální citlivosti, kvůli nákladům na svou činnost) v tom, že recyklují, propagují biopotraviny atd. A co je zde ještě důležitější, jejich </w:t>
      </w:r>
      <w:r w:rsidR="00E44900" w:rsidRPr="00797EA7">
        <w:rPr>
          <w:rFonts w:cstheme="minorHAnsi"/>
          <w:color w:val="000000" w:themeColor="text1"/>
          <w:lang w:val="cs-CZ"/>
        </w:rPr>
        <w:t xml:space="preserve">snaha o </w:t>
      </w:r>
      <w:r w:rsidRPr="00797EA7">
        <w:rPr>
          <w:rFonts w:cstheme="minorHAnsi"/>
          <w:color w:val="000000" w:themeColor="text1"/>
          <w:lang w:val="cs-CZ"/>
        </w:rPr>
        <w:t xml:space="preserve">dosažení sociálních cílů probíhá co nejekologičtějšími způsoby. Proto v sobě tyto typy organizací skrývají potenciál orientovat občany na ekologické ohledy. </w:t>
      </w:r>
    </w:p>
    <w:p w:rsidR="00B04D89" w:rsidRPr="00797EA7" w:rsidRDefault="00A46B5A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797EA7">
        <w:rPr>
          <w:rFonts w:eastAsia="Times" w:cstheme="minorHAnsi"/>
          <w:color w:val="000000" w:themeColor="text1"/>
          <w:lang w:val="cs-CZ"/>
        </w:rPr>
        <w:t xml:space="preserve">Nutnost vzniku oběhového hospodářství zvýšila tlak na přizpůsobení dovedností pracovníků, které požadují odvětví zaměřená na ekologicky udržitelnější technologie. </w:t>
      </w:r>
      <w:r w:rsidRPr="00797EA7">
        <w:rPr>
          <w:rFonts w:eastAsiaTheme="minorEastAsia" w:cstheme="minorHAnsi"/>
          <w:color w:val="000000" w:themeColor="text1"/>
          <w:lang w:val="cs-CZ"/>
        </w:rPr>
        <w:t xml:space="preserve">Rostoucí </w:t>
      </w:r>
      <w:r w:rsidRPr="00797EA7">
        <w:rPr>
          <w:rFonts w:eastAsiaTheme="minorEastAsia" w:cstheme="minorHAnsi"/>
          <w:lang w:val="cs-CZ"/>
        </w:rPr>
        <w:t xml:space="preserve">potřeba dovedností pro plnění ekologicky orientovaných úkolů vyžaduje, aby absolventi byli více vybaveni ekologickými dovednostmi, a to jak technickými, tak i měkkými. </w:t>
      </w:r>
      <w:r w:rsidRPr="00797EA7">
        <w:rPr>
          <w:rFonts w:cstheme="minorHAnsi"/>
          <w:color w:val="000000" w:themeColor="text1"/>
          <w:lang w:val="cs-CZ"/>
        </w:rPr>
        <w:t xml:space="preserve">Vzhledem k tomu, že ve vzdělávání v oblasti sociálního podnikání nejde jen o předávání abstraktních znalostí o kompetencích identifikovat příležitosti na sociálním trhu z učitele na studenty, ale také o připravenost zapojit se do zakládání sociálních podniků jako výsledek procesu sociálního učení, hraje velkou roli spoluvytváření sdílených komunit praxe studenty, které jsou označovány za stimulátor nových podnikatelských nápadů a obchodních modelů. Učební komunity mají za cíl nastartovat potenciál sociálních vztahů mezi odborníky a studujícími, aby stimulovaly inovativní formáty participativních a interaktivních učebních aktivit. </w:t>
      </w:r>
      <w:r w:rsidRPr="00797EA7">
        <w:rPr>
          <w:rFonts w:cstheme="minorHAnsi"/>
          <w:lang w:val="cs-CZ"/>
        </w:rPr>
        <w:t>Posun od paradigmatu "služby" k paradigmatu účasti prohlubuje odpovědnost studentů nejen za splnění úkolu, ale i za pochopení jeho potenciálního dopadu na společnost.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color w:val="000000" w:themeColor="text1"/>
          <w:lang w:val="cs-CZ" w:eastAsia="pl-PL"/>
        </w:rPr>
      </w:pPr>
      <w:r w:rsidRPr="00797EA7">
        <w:rPr>
          <w:rFonts w:eastAsia="Times New Roman" w:cstheme="minorHAnsi"/>
          <w:color w:val="000000" w:themeColor="text1"/>
          <w:lang w:val="cs-CZ" w:eastAsia="pl-PL"/>
        </w:rPr>
        <w:lastRenderedPageBreak/>
        <w:t>Zapojení se do zúčastněného pozorování reálného světa, reflexe pozorování prostřednictvím řady diskusí, následné zapojení se do interakcí s manažery sociálních podniků a poučení o tom, jak se zapojit do řešení sociálního problému, identifikace příležitostí sociálního podnikání pro začínající podniky vyžadují vzdělávací sadu nástrojů. V podstatě se jedná o jakousi výzvu pro aparát, který může umožnit inkubaci nápadů a může být koncipován jako forma laboratorního prostoru.</w:t>
      </w:r>
    </w:p>
    <w:p w:rsidR="00B04D89" w:rsidRPr="00797EA7" w:rsidRDefault="00A46B5A">
      <w:pPr>
        <w:spacing w:after="12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Výsledky výzkumu provedeného na samém počátku projektu, jehož cílem bylo definovat současný a budoucí nedostatek zelených dovedností v zemích JV Evropy a rozpoznat řešení a vzdělávací přístupy pro restrukturalizaci vysokoškolských studijních programů v oblasti sociální ekonomiky, ukázaly, že:</w:t>
      </w:r>
    </w:p>
    <w:p w:rsidR="00B04D89" w:rsidRPr="00797EA7" w:rsidRDefault="00A46B5A">
      <w:pPr>
        <w:pStyle w:val="Odstavecseseznamem"/>
        <w:numPr>
          <w:ilvl w:val="0"/>
          <w:numId w:val="32"/>
        </w:numPr>
        <w:spacing w:after="120"/>
        <w:ind w:left="425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zelené dovednosti nemusí být v SEE plně rozvinuty;</w:t>
      </w:r>
    </w:p>
    <w:p w:rsidR="00B04D89" w:rsidRPr="00797EA7" w:rsidRDefault="00A46B5A">
      <w:pPr>
        <w:pStyle w:val="Odstavecseseznamem"/>
        <w:numPr>
          <w:ilvl w:val="0"/>
          <w:numId w:val="32"/>
        </w:numPr>
        <w:spacing w:after="120"/>
        <w:ind w:left="425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nedostatky v oblasti zelených dovedností SEE nelze jednoznačně považovat za překážku pro navazování meziodvětvové spolupráce, získávání projektů oběhového hospodářství, které jsou přínosem pro životní prostředí, hospodářství a rozvoj samotných SEE;</w:t>
      </w:r>
    </w:p>
    <w:p w:rsidR="00B04D89" w:rsidRPr="00797EA7" w:rsidRDefault="00A46B5A">
      <w:pPr>
        <w:pStyle w:val="Odstavecseseznamem"/>
        <w:numPr>
          <w:ilvl w:val="0"/>
          <w:numId w:val="32"/>
        </w:numPr>
        <w:spacing w:after="120"/>
        <w:ind w:left="425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 xml:space="preserve">je třeba upravit vzdělávací programy s cílem zvýšit podporu tak, aby </w:t>
      </w:r>
      <w:r w:rsidR="00E44900" w:rsidRPr="00797EA7">
        <w:rPr>
          <w:rFonts w:cstheme="minorHAnsi"/>
          <w:lang w:val="cs-CZ"/>
        </w:rPr>
        <w:t xml:space="preserve">centra </w:t>
      </w:r>
      <w:r w:rsidRPr="00797EA7">
        <w:rPr>
          <w:rFonts w:cstheme="minorHAnsi"/>
          <w:lang w:val="cs-CZ"/>
        </w:rPr>
        <w:t>vysokoškolského vzdělávání poskytovala podporu pro vytváření dovedností jako hnací síly zelené transformace;</w:t>
      </w:r>
    </w:p>
    <w:p w:rsidR="00B04D89" w:rsidRPr="00797EA7" w:rsidRDefault="00A46B5A">
      <w:pPr>
        <w:pStyle w:val="Odstavecseseznamem"/>
        <w:numPr>
          <w:ilvl w:val="0"/>
          <w:numId w:val="32"/>
        </w:numPr>
        <w:spacing w:after="120"/>
        <w:ind w:left="425" w:hanging="357"/>
        <w:contextualSpacing w:val="0"/>
        <w:jc w:val="both"/>
        <w:rPr>
          <w:rFonts w:cstheme="minorHAnsi"/>
          <w:lang w:val="cs-CZ"/>
        </w:rPr>
      </w:pPr>
      <w:r w:rsidRPr="00797EA7">
        <w:rPr>
          <w:rFonts w:cstheme="minorHAnsi"/>
          <w:lang w:val="cs-CZ"/>
        </w:rPr>
        <w:t>a studijní plány jsou nejdůležitější příležitostí k získání "zelených dovedností".</w:t>
      </w:r>
    </w:p>
    <w:p w:rsidR="00B04D89" w:rsidRPr="00797EA7" w:rsidRDefault="00A46B5A">
      <w:pPr>
        <w:spacing w:after="120"/>
        <w:jc w:val="both"/>
        <w:rPr>
          <w:rFonts w:eastAsia="Times New Roman" w:cstheme="minorHAnsi"/>
          <w:lang w:val="cs-CZ" w:eastAsia="pl-PL"/>
        </w:rPr>
      </w:pPr>
      <w:r w:rsidRPr="00797EA7">
        <w:rPr>
          <w:rFonts w:eastAsia="Times New Roman" w:cstheme="minorHAnsi"/>
          <w:lang w:val="cs-CZ" w:eastAsia="pl-PL"/>
        </w:rPr>
        <w:t xml:space="preserve">Jedná se o rámec, na který bude navazovat smíšený metodologický přístup, který poskytne teoretické i empirické poznatky a vytvoří základ pro další vytváření vzdělávacích programů orientovaných na potřeby poskytovatelů vzdělávání v oblasti SE i studentů. </w:t>
      </w:r>
      <w:r w:rsidRPr="00797EA7">
        <w:rPr>
          <w:rFonts w:eastAsia="Times New Roman" w:cstheme="minorHAnsi"/>
          <w:color w:val="000000" w:themeColor="text1"/>
          <w:lang w:val="cs-CZ" w:eastAsia="pl-PL"/>
        </w:rPr>
        <w:t xml:space="preserve">Laboratorní prostor, který je v rámci tohoto vzdělávacího projektu navrhován, </w:t>
      </w:r>
      <w:r w:rsidRPr="00797EA7">
        <w:rPr>
          <w:rFonts w:cstheme="minorHAnsi"/>
          <w:lang w:val="cs-CZ"/>
        </w:rPr>
        <w:t xml:space="preserve">nabízí flexibilní způsoby školení a vzdělávání, které zahrnují metodiky zaměřené na lidi a více zúčastněných stran (metodika živých laboratoří) a praktické přístupy (učení založené na simulaci) pro kultivaci zelené gramotnosti a dovedností učitelů a studentů SE a vytváření smysluplných schémat zelené spolupráce </w:t>
      </w:r>
      <w:r w:rsidR="001B4013" w:rsidRPr="00797EA7">
        <w:rPr>
          <w:rFonts w:cstheme="minorHAnsi"/>
          <w:lang w:val="cs-CZ"/>
        </w:rPr>
        <w:t xml:space="preserve">v </w:t>
      </w:r>
      <w:r w:rsidRPr="00797EA7">
        <w:rPr>
          <w:rFonts w:cstheme="minorHAnsi"/>
          <w:lang w:val="cs-CZ"/>
        </w:rPr>
        <w:t>rámci různých zúčastněných stran SE. Bude zahrnovat MOOC, online příručku pro učitele, kapesní online kurzy, osobní vzdělávací semináře a připravené zdroje, které nabídnou vzdělávací program pro učitele a studenty, virtuální i fyzické aktivity, včetně letní školy.</w:t>
      </w:r>
    </w:p>
    <w:p w:rsidR="00B04D89" w:rsidRPr="00797EA7" w:rsidRDefault="00A46B5A">
      <w:pPr>
        <w:pStyle w:val="Nadpis1"/>
        <w:rPr>
          <w:rStyle w:val="spellingerror"/>
          <w:rFonts w:asciiTheme="minorHAnsi" w:hAnsiTheme="minorHAnsi" w:cstheme="minorHAnsi"/>
          <w:b/>
          <w:bCs/>
          <w:color w:val="538135" w:themeColor="accent6" w:themeShade="BF"/>
          <w:lang w:val="cs-CZ"/>
        </w:rPr>
      </w:pPr>
      <w:r w:rsidRPr="00797EA7">
        <w:rPr>
          <w:rStyle w:val="spellingerror"/>
          <w:rFonts w:asciiTheme="minorHAnsi" w:hAnsiTheme="minorHAnsi" w:cstheme="minorHAnsi"/>
          <w:b/>
          <w:bCs/>
          <w:color w:val="538135" w:themeColor="accent6" w:themeShade="BF"/>
          <w:lang w:val="cs-CZ"/>
        </w:rPr>
        <w:br w:type="column"/>
      </w:r>
      <w:bookmarkStart w:id="42" w:name="_Toc117681712"/>
      <w:r w:rsidRPr="00797EA7">
        <w:rPr>
          <w:rStyle w:val="spellingerror"/>
          <w:rFonts w:asciiTheme="minorHAnsi" w:hAnsiTheme="minorHAnsi" w:cstheme="minorHAnsi"/>
          <w:b/>
          <w:bCs/>
          <w:color w:val="538135" w:themeColor="accent6" w:themeShade="BF"/>
          <w:lang w:val="cs-CZ"/>
        </w:rPr>
        <w:lastRenderedPageBreak/>
        <w:t>Bibliografie</w:t>
      </w:r>
      <w:bookmarkEnd w:id="42"/>
    </w:p>
    <w:p w:rsidR="0071787D" w:rsidRPr="00797EA7" w:rsidRDefault="0071787D" w:rsidP="00547E8F">
      <w:pPr>
        <w:pStyle w:val="Textpoznpodarou"/>
        <w:spacing w:after="80"/>
        <w:rPr>
          <w:rFonts w:cstheme="minorHAnsi"/>
          <w:color w:val="000000" w:themeColor="text1"/>
          <w:sz w:val="18"/>
          <w:szCs w:val="18"/>
          <w:lang w:val="cs-CZ"/>
        </w:rPr>
      </w:pPr>
    </w:p>
    <w:p w:rsidR="00B04D89" w:rsidRPr="00797EA7" w:rsidRDefault="00A46B5A">
      <w:pPr>
        <w:pStyle w:val="Odstavecseseznamem"/>
        <w:numPr>
          <w:ilvl w:val="0"/>
          <w:numId w:val="17"/>
        </w:numPr>
        <w:spacing w:after="60"/>
        <w:ind w:left="426" w:hanging="426"/>
        <w:contextualSpacing w:val="0"/>
        <w:jc w:val="both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Adhya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A.,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Plowright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P. &amp;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Stevens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J. (2010). Definování udržitelného urbanismu: </w:t>
      </w:r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Sborník z konference o udržitelnosti a zastavěném prostředí</w:t>
      </w:r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, 17-38.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Alvord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S. H, Brown, </w:t>
      </w:r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D.L.,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Letts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Ch.W</w:t>
      </w:r>
      <w:proofErr w:type="spellEnd"/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 (2004).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Sociální podnikání a společenská transformace.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Explanatory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Study,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Applied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Behavioral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Science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40</w:t>
      </w:r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3)</w:t>
      </w:r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260-282</w:t>
      </w:r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DOI: 10.1177/0021886304266847.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Anderson</w:t>
      </w:r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B.B.,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237C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 G. (2002).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Developing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viable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earned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income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strategies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410F5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[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in:</w:t>
      </w:r>
      <w:r w:rsidR="00410F5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]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 G.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J.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Emerson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P.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Economy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Strategic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tools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enhancing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performance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your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enterprising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nonprofit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John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Wiley&amp;Sons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Inc. </w:t>
      </w:r>
      <w:r w:rsidR="00410F5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</w:t>
      </w:r>
      <w:proofErr w:type="gramEnd"/>
      <w:r w:rsidR="00410F5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New York.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Anderson, W.,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Krathwohl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D.R. </w:t>
      </w:r>
      <w:r w:rsidR="00A04F3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  <w:r w:rsidR="00A04F3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)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(2001).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A taxonomy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teaching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assessing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: a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revision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Bloom's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taxonomy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educational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objectives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(Taxonomie pro učení, výuku a hodnocení: revize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Bloomovy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taxonomie vzdělávacích cílů)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Longman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New York.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sz w:val="18"/>
          <w:szCs w:val="18"/>
          <w:lang w:val="cs-CZ"/>
        </w:rPr>
        <w:t xml:space="preserve">Arthur, C. (2021). </w:t>
      </w:r>
      <w:r w:rsidRPr="00797EA7">
        <w:rPr>
          <w:rFonts w:cstheme="minorHAnsi"/>
          <w:i/>
          <w:sz w:val="18"/>
          <w:szCs w:val="18"/>
          <w:lang w:val="cs-CZ"/>
        </w:rPr>
        <w:t xml:space="preserve">Co jsou to zelené </w:t>
      </w:r>
      <w:proofErr w:type="gramStart"/>
      <w:r w:rsidRPr="00797EA7">
        <w:rPr>
          <w:rFonts w:cstheme="minorHAnsi"/>
          <w:i/>
          <w:sz w:val="18"/>
          <w:szCs w:val="18"/>
          <w:lang w:val="cs-CZ"/>
        </w:rPr>
        <w:t>dovednosti?,</w:t>
      </w:r>
      <w:proofErr w:type="gramEnd"/>
      <w:r w:rsidRPr="00797EA7">
        <w:rPr>
          <w:rFonts w:cstheme="minorHAnsi"/>
          <w:i/>
          <w:sz w:val="18"/>
          <w:szCs w:val="18"/>
          <w:lang w:val="cs-CZ"/>
        </w:rPr>
        <w:t xml:space="preserve"> </w:t>
      </w:r>
      <w:r w:rsidRPr="00797EA7">
        <w:rPr>
          <w:rFonts w:cstheme="minorHAnsi"/>
          <w:sz w:val="18"/>
          <w:szCs w:val="18"/>
          <w:lang w:val="cs-CZ"/>
        </w:rPr>
        <w:t xml:space="preserve">UNIDO, </w:t>
      </w:r>
      <w:hyperlink r:id="rId26" w:history="1">
        <w:r w:rsidRPr="00797EA7">
          <w:rPr>
            <w:rStyle w:val="Hypertextovodkaz"/>
            <w:rFonts w:cstheme="minorHAnsi"/>
            <w:color w:val="000000" w:themeColor="text1"/>
            <w:sz w:val="18"/>
            <w:szCs w:val="18"/>
            <w:lang w:val="cs-CZ"/>
          </w:rPr>
          <w:t>https://www.unido.org/stories/what-are-green-skills.</w:t>
        </w:r>
      </w:hyperlink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cstheme="minorHAnsi"/>
          <w:sz w:val="18"/>
          <w:szCs w:val="18"/>
          <w:lang w:val="cs-CZ"/>
        </w:rPr>
        <w:t>Asia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sz w:val="18"/>
          <w:szCs w:val="18"/>
          <w:lang w:val="cs-CZ"/>
        </w:rPr>
        <w:t>Foundation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 (2012) Průzkum vnímání změny klimatu. </w:t>
      </w:r>
      <w:proofErr w:type="spellStart"/>
      <w:r w:rsidRPr="00797EA7">
        <w:rPr>
          <w:rFonts w:cstheme="minorHAnsi"/>
          <w:sz w:val="18"/>
          <w:szCs w:val="18"/>
          <w:lang w:val="cs-CZ"/>
        </w:rPr>
        <w:t>The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sz w:val="18"/>
          <w:szCs w:val="18"/>
          <w:lang w:val="cs-CZ"/>
        </w:rPr>
        <w:t>Asia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sz w:val="18"/>
          <w:szCs w:val="18"/>
          <w:lang w:val="cs-CZ"/>
        </w:rPr>
        <w:t>foundation</w:t>
      </w:r>
      <w:proofErr w:type="spellEnd"/>
      <w:r w:rsidRPr="00797EA7">
        <w:rPr>
          <w:rFonts w:cstheme="minorHAnsi"/>
          <w:sz w:val="18"/>
          <w:szCs w:val="18"/>
          <w:lang w:val="cs-CZ"/>
        </w:rPr>
        <w:t>, Dháka</w:t>
      </w:r>
      <w:hyperlink r:id="rId27" w:history="1">
        <w:r w:rsidRPr="00797EA7">
          <w:rPr>
            <w:rStyle w:val="Hypertextovodkaz"/>
            <w:rFonts w:cstheme="minorHAnsi"/>
            <w:color w:val="000000" w:themeColor="text1"/>
            <w:sz w:val="18"/>
            <w:szCs w:val="18"/>
            <w:lang w:val="cs-CZ"/>
          </w:rPr>
          <w:t>. http://asiafoundation.org/resources/pdfs/climatechangeperceptionsurvey.pdf.</w:t>
        </w:r>
      </w:hyperlink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Arantes</w:t>
      </w:r>
      <w:proofErr w:type="spellEnd"/>
      <w:r w:rsidR="00A04F3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V. (2020)</w:t>
      </w:r>
      <w:r w:rsidR="00A04F3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Transformace, nebo vyhovění?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Rise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Shanghai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="001C025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1C025C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13</w:t>
      </w:r>
      <w:r w:rsidR="001C025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(2), 143-163, DOI: 10.1080/19420676.2020.1758195.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Bandura</w:t>
      </w:r>
      <w:r w:rsidR="000928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A. </w:t>
      </w:r>
      <w:r w:rsidR="000928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(1971).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theory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Prentice-Hall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New Jersey.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Barry</w:t>
      </w:r>
      <w:proofErr w:type="spellEnd"/>
      <w:r w:rsidR="00BA273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Meisiek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BA273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S. (2015).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Discovering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business studio,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Management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39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(1)</w:t>
      </w:r>
      <w:r w:rsidR="00BA273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153-175, DOI: 10.1177/1052562914532801.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Benevene</w:t>
      </w:r>
      <w:proofErr w:type="spellEnd"/>
      <w:r w:rsidR="003C64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P., Kong, </w:t>
      </w:r>
      <w:r w:rsidR="003C64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E.,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Barbieri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3C64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B.,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Luchesi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3C64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Cortini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3C64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 (2017).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Representation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Intellectual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Capital's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Components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Amongst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Italian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Intellectual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Capital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18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3C64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78400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564-587, DOI: 10.1108/JIC-12-2016-0127.</w:t>
      </w:r>
    </w:p>
    <w:p w:rsidR="00B04D89" w:rsidRPr="00797EA7" w:rsidRDefault="00A46B5A">
      <w:pPr>
        <w:pStyle w:val="Odstavecseseznamem"/>
        <w:numPr>
          <w:ilvl w:val="0"/>
          <w:numId w:val="17"/>
        </w:numPr>
        <w:spacing w:after="60"/>
        <w:ind w:left="426" w:hanging="426"/>
        <w:contextualSpacing w:val="0"/>
        <w:jc w:val="both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Bohari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A.A.M.,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Xia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B., </w:t>
      </w:r>
      <w:r w:rsidR="00784004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(2015).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Developing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green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procurement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framework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construction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projects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Malaysia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</w:t>
      </w:r>
      <w:r w:rsidR="00784004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[in:]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Proceedings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 6th International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Conference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 on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Engineering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, Project</w:t>
      </w:r>
      <w:r w:rsidR="00784004"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and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Production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 Management 2015 </w:t>
      </w:r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(EPPM2015)</w:t>
      </w:r>
      <w:r w:rsidR="00784004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Association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Engineering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Project, and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Production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Management (EPPM)</w:t>
      </w:r>
      <w:r w:rsidR="00784004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, 282-290.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Bornstein</w:t>
      </w:r>
      <w:proofErr w:type="spellEnd"/>
      <w:r w:rsidR="00671C2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 </w:t>
      </w:r>
      <w:r w:rsidR="00671C2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(2004).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Jak změnit svět: sociální podnikatelé a síla nových myšlenek,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Oxford University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Press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New York.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Borzaga</w:t>
      </w:r>
      <w:proofErr w:type="spellEnd"/>
      <w:r w:rsidR="006E4CF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Defourny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6E4CF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 (2001).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emergence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enterprise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Routledge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London.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Boschee</w:t>
      </w:r>
      <w:proofErr w:type="spellEnd"/>
      <w:r w:rsidR="00E11E0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 </w:t>
      </w:r>
      <w:r w:rsidR="00E11E0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(1995).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Sociální podnikání</w:t>
      </w:r>
      <w:r w:rsidR="00E11E0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Across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C67142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Board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32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E11E0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20-25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Bossel</w:t>
      </w:r>
      <w:proofErr w:type="spellEnd"/>
      <w:r w:rsidR="00C6714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H. </w:t>
      </w:r>
      <w:r w:rsidR="00360B0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(1999).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Indicators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sustainable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development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theory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method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applications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r w:rsidR="00360B0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Indikátory udržitelného rozvoje: teorie, metody, aplikace),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International Institute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Sustainable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Development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360B0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Winnipeg, Manitoba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 </w:t>
      </w:r>
    </w:p>
    <w:p w:rsidR="00B04D89" w:rsidRPr="00797EA7" w:rsidRDefault="00A46B5A">
      <w:pPr>
        <w:pStyle w:val="Odstavecseseznamem"/>
        <w:numPr>
          <w:ilvl w:val="0"/>
          <w:numId w:val="17"/>
        </w:numPr>
        <w:spacing w:after="60"/>
        <w:ind w:left="426" w:hanging="426"/>
        <w:contextualSpacing w:val="0"/>
        <w:jc w:val="both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Bozkurt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, Ö</w:t>
      </w:r>
      <w:r w:rsidR="00543AF9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.,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Stowell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A. </w:t>
      </w:r>
      <w:r w:rsidR="00543AF9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(2016).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Skill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green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economy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: recycling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promises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UK e-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waste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management </w:t>
      </w: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sector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 [Dovednosti v zelené ekonomice: přísliby recyklace v odvětví nakládání s elektronickým odpadem ve Spojeném království], </w:t>
      </w:r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New Technology,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Work</w:t>
      </w:r>
      <w:proofErr w:type="spellEnd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, and </w:t>
      </w:r>
      <w:proofErr w:type="spellStart"/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Employment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31</w:t>
      </w:r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(2), 146-160</w:t>
      </w:r>
      <w:r w:rsidR="00543AF9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, DOI: 10.1111/ntwe.12066.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Branzei</w:t>
      </w:r>
      <w:proofErr w:type="spellEnd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O.,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Fredette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C. (2008).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Effects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newcomers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practicing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on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cross-level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distortions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[Vliv praxe nováčků na zkreslení učení na různých úrovních],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Management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39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(4); </w:t>
      </w:r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393-412, </w:t>
      </w:r>
      <w:proofErr w:type="spellStart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Special</w:t>
      </w:r>
      <w:proofErr w:type="spellEnd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Issue</w:t>
      </w:r>
      <w:proofErr w:type="spellEnd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on </w:t>
      </w:r>
      <w:proofErr w:type="spellStart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Organizational</w:t>
      </w:r>
      <w:proofErr w:type="spellEnd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Knowledge</w:t>
      </w:r>
      <w:proofErr w:type="spellEnd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Capabilities</w:t>
      </w:r>
      <w:proofErr w:type="spellEnd"/>
      <w:r w:rsidR="006909D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[Zvláštní vydání o organizačním učení, znalostech a schopnostech]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Brown</w:t>
      </w:r>
      <w:r w:rsidR="000C44D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T. </w:t>
      </w:r>
      <w:r w:rsidR="000C44D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(2008).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Design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Thinking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Harvard Business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Review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0C44D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červen</w:t>
      </w:r>
      <w:r w:rsidR="000C44D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)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Bull</w:t>
      </w:r>
      <w:r w:rsidR="000C44D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 </w:t>
      </w:r>
      <w:r w:rsidR="000C44D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(2008).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Challenging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Tensions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International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Behavior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Research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(5)</w:t>
      </w:r>
      <w:r w:rsidR="000C44D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268-275.  </w:t>
      </w:r>
    </w:p>
    <w:p w:rsidR="00B04D89" w:rsidRPr="00797EA7" w:rsidRDefault="00A46B5A">
      <w:pPr>
        <w:pStyle w:val="Odstavecseseznamem"/>
        <w:numPr>
          <w:ilvl w:val="0"/>
          <w:numId w:val="17"/>
        </w:numPr>
        <w:spacing w:after="60"/>
        <w:ind w:left="426" w:hanging="426"/>
        <w:contextualSpacing w:val="0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sz w:val="18"/>
          <w:szCs w:val="18"/>
          <w:lang w:val="cs-CZ"/>
        </w:rPr>
        <w:t xml:space="preserve">CEDEFOP, (2012). </w:t>
      </w:r>
      <w:r w:rsidRPr="00797EA7">
        <w:rPr>
          <w:rFonts w:cstheme="minorHAnsi"/>
          <w:i/>
          <w:sz w:val="18"/>
          <w:szCs w:val="18"/>
          <w:lang w:val="cs-CZ"/>
        </w:rPr>
        <w:t xml:space="preserve">Ekologické dovednosti a environmentální povědomí v odborném vzdělávání a přípravě. Souhrnná zpráva, </w:t>
      </w:r>
      <w:r w:rsidRPr="00797EA7">
        <w:rPr>
          <w:rFonts w:cstheme="minorHAnsi"/>
          <w:sz w:val="18"/>
          <w:szCs w:val="18"/>
          <w:lang w:val="cs-CZ"/>
        </w:rPr>
        <w:t>Lucemburk,</w:t>
      </w:r>
      <w:r w:rsidRPr="00797EA7">
        <w:rPr>
          <w:rFonts w:cstheme="minorHAnsi"/>
          <w:sz w:val="18"/>
          <w:szCs w:val="18"/>
          <w:lang w:val="cs-CZ"/>
        </w:rPr>
        <w:br/>
      </w:r>
      <w:r w:rsidRPr="00797EA7">
        <w:rPr>
          <w:rStyle w:val="Hypertextovodkaz"/>
          <w:rFonts w:cstheme="minorHAnsi"/>
          <w:color w:val="000000" w:themeColor="text1"/>
          <w:sz w:val="18"/>
          <w:szCs w:val="18"/>
          <w:lang w:val="cs-CZ"/>
        </w:rPr>
        <w:t>https://www.cedefop.europa.eu/files/5524_en.pdf.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cstheme="minorHAnsi"/>
          <w:sz w:val="18"/>
          <w:szCs w:val="18"/>
          <w:lang w:val="cs-CZ"/>
        </w:rPr>
        <w:t>Consoli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</w:t>
      </w:r>
      <w:r w:rsidR="00705813" w:rsidRPr="00797EA7">
        <w:rPr>
          <w:rFonts w:cstheme="minorHAnsi"/>
          <w:sz w:val="18"/>
          <w:szCs w:val="18"/>
          <w:lang w:val="cs-CZ"/>
        </w:rPr>
        <w:t xml:space="preserve">D., </w:t>
      </w:r>
      <w:r w:rsidRPr="00797EA7">
        <w:rPr>
          <w:rFonts w:cstheme="minorHAnsi"/>
          <w:sz w:val="18"/>
          <w:szCs w:val="18"/>
          <w:lang w:val="cs-CZ"/>
        </w:rPr>
        <w:t xml:space="preserve">Marin, </w:t>
      </w:r>
      <w:r w:rsidR="00705813" w:rsidRPr="00797EA7">
        <w:rPr>
          <w:rFonts w:cstheme="minorHAnsi"/>
          <w:sz w:val="18"/>
          <w:szCs w:val="18"/>
          <w:lang w:val="cs-CZ"/>
        </w:rPr>
        <w:t xml:space="preserve">G., </w:t>
      </w:r>
      <w:r w:rsidRPr="00797EA7">
        <w:rPr>
          <w:rFonts w:cstheme="minorHAnsi"/>
          <w:sz w:val="18"/>
          <w:szCs w:val="18"/>
          <w:lang w:val="cs-CZ"/>
        </w:rPr>
        <w:t xml:space="preserve">Popp, </w:t>
      </w:r>
      <w:r w:rsidR="00705813" w:rsidRPr="00797EA7">
        <w:rPr>
          <w:rFonts w:cstheme="minorHAnsi"/>
          <w:sz w:val="18"/>
          <w:szCs w:val="18"/>
          <w:lang w:val="cs-CZ"/>
        </w:rPr>
        <w:t xml:space="preserve">D.,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Vona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</w:t>
      </w:r>
      <w:r w:rsidR="00705813" w:rsidRPr="00797EA7">
        <w:rPr>
          <w:rFonts w:cstheme="minorHAnsi"/>
          <w:sz w:val="18"/>
          <w:szCs w:val="18"/>
          <w:lang w:val="cs-CZ"/>
        </w:rPr>
        <w:t xml:space="preserve">F. </w:t>
      </w:r>
      <w:r w:rsidRPr="00797EA7">
        <w:rPr>
          <w:rFonts w:cstheme="minorHAnsi"/>
          <w:sz w:val="18"/>
          <w:szCs w:val="18"/>
          <w:lang w:val="cs-CZ"/>
        </w:rPr>
        <w:t xml:space="preserve">(2015). </w:t>
      </w:r>
      <w:r w:rsidRPr="00797EA7">
        <w:rPr>
          <w:rFonts w:cstheme="minorHAnsi"/>
          <w:i/>
          <w:sz w:val="18"/>
          <w:szCs w:val="18"/>
          <w:lang w:val="cs-CZ"/>
        </w:rPr>
        <w:t xml:space="preserve">Zelené dovednosti, </w:t>
      </w:r>
      <w:r w:rsidRPr="00797EA7">
        <w:rPr>
          <w:rFonts w:cstheme="minorHAnsi"/>
          <w:sz w:val="18"/>
          <w:szCs w:val="18"/>
          <w:lang w:val="cs-CZ"/>
        </w:rPr>
        <w:t xml:space="preserve">VOX EU, CEPR, </w:t>
      </w:r>
      <w:hyperlink r:id="rId28" w:history="1">
        <w:r w:rsidRPr="00797EA7">
          <w:rPr>
            <w:rStyle w:val="Hypertextovodkaz"/>
            <w:rFonts w:cstheme="minorHAnsi"/>
            <w:color w:val="000000" w:themeColor="text1"/>
            <w:sz w:val="18"/>
            <w:szCs w:val="18"/>
            <w:lang w:val="cs-CZ"/>
          </w:rPr>
          <w:t>https://voxeu.org/article/green-skills.</w:t>
        </w:r>
      </w:hyperlink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Dart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R. </w:t>
      </w:r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2004)</w:t>
      </w:r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Legitimacy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</w:t>
      </w:r>
      <w:proofErr w:type="spellEnd"/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Nonprofit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Management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Leadership</w:t>
      </w:r>
      <w:proofErr w:type="spellEnd"/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(4)</w:t>
      </w:r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411-424.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Davis</w:t>
      </w:r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T. </w:t>
      </w:r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(1997).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Hybridní podnikání nevládních organizací: je odpovědí soukromý sektor?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Baltimore, MD, John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Hopkins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University</w:t>
      </w:r>
      <w:r w:rsidR="00611B89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Dees</w:t>
      </w:r>
      <w:proofErr w:type="spellEnd"/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J.G. </w:t>
      </w:r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(1998).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Meaning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"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",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Kauffman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Foundation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Standford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University, </w:t>
      </w:r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Kansas City and Palo </w:t>
      </w:r>
      <w:proofErr w:type="spellStart"/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Alto</w:t>
      </w:r>
      <w:proofErr w:type="spellEnd"/>
      <w:r w:rsidR="00611B8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Departament Ekonomii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Społecznej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Solidarnej</w:t>
      </w:r>
      <w:proofErr w:type="spellEnd"/>
      <w:r w:rsidR="00B411D3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(2019).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Krajowy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Program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Rozwoju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Ekonomii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Społecznej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do 2023 roku.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Ekonomia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solidarności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społecznej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Ministerstwo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Rodziny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Pracy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Polityki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Społecznej</w:t>
      </w:r>
      <w:proofErr w:type="spellEnd"/>
      <w:r w:rsidR="004C3110" w:rsidRPr="00797EA7">
        <w:rPr>
          <w:rStyle w:val="Hypertextovodkaz"/>
          <w:color w:val="000000" w:themeColor="text1"/>
          <w:sz w:val="16"/>
          <w:szCs w:val="16"/>
          <w:lang w:val="cs-CZ"/>
        </w:rPr>
        <w:t>, https://www.ekonomiaspoleczna.gov.pl/Krajowy,Program,Rozwoju,Ekonomii,Spolecznej,do,2023,roku.,Ekonomia,solidarnosci,spolecznej,4119.html.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sz w:val="18"/>
          <w:szCs w:val="18"/>
          <w:lang w:val="cs-CZ"/>
        </w:rPr>
        <w:t>Dewey</w:t>
      </w:r>
      <w:proofErr w:type="spellEnd"/>
      <w:r w:rsidRPr="00797EA7">
        <w:rPr>
          <w:rFonts w:eastAsia="Times New Roman" w:cstheme="minorHAnsi"/>
          <w:sz w:val="18"/>
          <w:szCs w:val="18"/>
          <w:lang w:val="cs-CZ"/>
        </w:rPr>
        <w:t xml:space="preserve">, </w:t>
      </w:r>
      <w:r w:rsidR="00F85B4E" w:rsidRPr="00797EA7">
        <w:rPr>
          <w:rFonts w:eastAsia="Times New Roman" w:cstheme="minorHAnsi"/>
          <w:sz w:val="18"/>
          <w:szCs w:val="18"/>
          <w:lang w:val="cs-CZ"/>
        </w:rPr>
        <w:t xml:space="preserve">J. (1938). </w:t>
      </w:r>
      <w:proofErr w:type="spellStart"/>
      <w:r w:rsidRPr="00797EA7">
        <w:rPr>
          <w:rFonts w:eastAsia="Times New Roman" w:cstheme="minorHAnsi"/>
          <w:i/>
          <w:iCs/>
          <w:sz w:val="18"/>
          <w:szCs w:val="18"/>
          <w:lang w:val="cs-CZ"/>
        </w:rPr>
        <w:t>Experience</w:t>
      </w:r>
      <w:proofErr w:type="spellEnd"/>
      <w:r w:rsidRPr="00797EA7">
        <w:rPr>
          <w:rFonts w:eastAsia="Times New Roman" w:cstheme="minorHAnsi"/>
          <w:i/>
          <w:iCs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i/>
          <w:iCs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sz w:val="18"/>
          <w:szCs w:val="18"/>
          <w:lang w:val="cs-CZ"/>
        </w:rPr>
        <w:t>Touchstone</w:t>
      </w:r>
      <w:proofErr w:type="spellEnd"/>
      <w:r w:rsidRPr="00797EA7">
        <w:rPr>
          <w:rFonts w:eastAsia="Times New Roman" w:cstheme="minorHAnsi"/>
          <w:sz w:val="18"/>
          <w:szCs w:val="18"/>
          <w:lang w:val="cs-CZ"/>
        </w:rPr>
        <w:t xml:space="preserve">, New York.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lastRenderedPageBreak/>
        <w:t>Douglas</w:t>
      </w:r>
      <w:proofErr w:type="spellEnd"/>
      <w:r w:rsidR="00F85B4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H. </w:t>
      </w:r>
      <w:r w:rsidR="00F85B4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(2015).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Designing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International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Innovation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, 3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(5)</w:t>
      </w:r>
      <w:r w:rsidR="00F85B4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9A5DE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362-373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Drayton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W. </w:t>
      </w:r>
      <w:r w:rsidR="009A5DE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2002). Občanský sektor: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California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Management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Review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44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9A5DE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120-132.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Evropský parlament, Rada Evropské unie, </w:t>
      </w:r>
      <w:r w:rsidR="004D56E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(2006).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Doporučení Evropského parlamentu a Rady ze dne 18. prosince 2006 o klíčových schopnostech pro celoživotní učení,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Úřední věstník Evropské unie L394/10:1-9.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cstheme="minorHAnsi"/>
          <w:sz w:val="18"/>
          <w:szCs w:val="18"/>
          <w:lang w:val="cs-CZ"/>
        </w:rPr>
        <w:t>Flynn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C.,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Yamasumi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E.,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Fisher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S.,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Snow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D., Grant, Z.,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Kirby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M., Browning, P.,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Rommerskirchen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M., Russell, I. (2021).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Peoples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'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Climate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Vote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, </w:t>
      </w:r>
      <w:r w:rsidRPr="00797EA7">
        <w:rPr>
          <w:rFonts w:cstheme="minorHAnsi"/>
          <w:sz w:val="18"/>
          <w:szCs w:val="18"/>
          <w:lang w:val="cs-CZ"/>
        </w:rPr>
        <w:t xml:space="preserve">UNDP, University </w:t>
      </w:r>
      <w:proofErr w:type="spellStart"/>
      <w:r w:rsidRPr="00797EA7">
        <w:rPr>
          <w:rFonts w:cstheme="minorHAnsi"/>
          <w:sz w:val="18"/>
          <w:szCs w:val="18"/>
          <w:lang w:val="cs-CZ"/>
        </w:rPr>
        <w:t>of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 Oxford, </w:t>
      </w:r>
      <w:hyperlink r:id="rId29" w:history="1">
        <w:r w:rsidRPr="00797EA7">
          <w:rPr>
            <w:rStyle w:val="Hypertextovodkaz"/>
            <w:rFonts w:eastAsia="Times New Roman" w:cstheme="minorHAnsi"/>
            <w:color w:val="auto"/>
            <w:sz w:val="18"/>
            <w:szCs w:val="18"/>
            <w:lang w:val="cs-CZ"/>
          </w:rPr>
          <w:t>https://www.undp.org/publications/peoples-climate-vote.</w:t>
        </w:r>
      </w:hyperlink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Fowler</w:t>
      </w:r>
      <w:proofErr w:type="spellEnd"/>
      <w:r w:rsidR="004D56E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A. </w:t>
      </w:r>
      <w:r w:rsidR="004D56E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(2000).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Nevládní organizace jako moment v dějinách: od pomoci k sociálnímu podnikání nebo občanské inovaci</w:t>
      </w:r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? </w:t>
      </w:r>
      <w:r w:rsidR="004D56E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</w:t>
      </w:r>
      <w:proofErr w:type="gramEnd"/>
      <w:r w:rsidR="004D56E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Third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World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Quarterly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21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(4), </w:t>
      </w:r>
      <w:r w:rsidR="004D56E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637-654.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Gherardi</w:t>
      </w:r>
      <w:proofErr w:type="spellEnd"/>
      <w:r w:rsidR="003501C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S.,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Nicolini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3501C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Odella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3501C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F. (1998).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Toward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understanding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how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people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organizations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notion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situated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curriculum,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Management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29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3501C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273-297, DOI: 10.1177/1350507698293002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Graves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L.N.</w:t>
      </w:r>
      <w:bookmarkStart w:id="43" w:name="_Hlk108718762"/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(1992).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Cooperative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communities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context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new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vision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society (Kooperativní učební komunity: kontext pro novou vizi vzdělávání a společnosti),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174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(2), 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57-</w:t>
      </w:r>
      <w:proofErr w:type="gramStart"/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79</w:t>
      </w:r>
      <w:bookmarkEnd w:id="43"/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.</w:t>
      </w:r>
      <w:proofErr w:type="gram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Hasan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S. 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(2005).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capital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Asia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analyzing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link (Sociální kapitál a sociální podnikání v Asii: analýza souvislostí),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Asia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Pacific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Public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Administration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27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(1), 1-17.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sz w:val="18"/>
          <w:szCs w:val="18"/>
          <w:lang w:val="cs-CZ"/>
        </w:rPr>
        <w:t xml:space="preserve">HM </w:t>
      </w:r>
      <w:proofErr w:type="spellStart"/>
      <w:r w:rsidRPr="00797EA7">
        <w:rPr>
          <w:rFonts w:cstheme="minorHAnsi"/>
          <w:sz w:val="18"/>
          <w:szCs w:val="18"/>
          <w:lang w:val="cs-CZ"/>
        </w:rPr>
        <w:t>Government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(2011). </w:t>
      </w:r>
      <w:r w:rsidRPr="00797EA7">
        <w:rPr>
          <w:rFonts w:cstheme="minorHAnsi"/>
          <w:i/>
          <w:sz w:val="18"/>
          <w:szCs w:val="18"/>
          <w:lang w:val="cs-CZ"/>
        </w:rPr>
        <w:t xml:space="preserve">Dovednosti pro zelenou ekonomiku. A report on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the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evidence, </w:t>
      </w:r>
      <w:r w:rsidRPr="00797EA7">
        <w:rPr>
          <w:rFonts w:cstheme="minorHAnsi"/>
          <w:sz w:val="18"/>
          <w:szCs w:val="18"/>
          <w:lang w:val="cs-CZ"/>
        </w:rPr>
        <w:t>URN 11/1315.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Hockerts</w:t>
      </w:r>
      <w:proofErr w:type="spellEnd"/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K. 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(2018).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Effects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Experimental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on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Intention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Formation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Students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(Účinky experimentálního vzdělávání v oblasti sociálního podnikání na formování záměru u studentů), </w:t>
      </w:r>
      <w:proofErr w:type="spellStart"/>
      <w:r w:rsidR="00B349BA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="00B349BA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9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3), 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234-256, DOI: 10.1080/19420676.2018.1498377.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Howorth</w:t>
      </w:r>
      <w:proofErr w:type="spellEnd"/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C., Smith, 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S.M.,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Parkinson, 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C. (2012).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(Sociální učení a vzdělávání v oblasti sociálního podnikání),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Academy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11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B349B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371-389.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Huybrechts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B.,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Nicholls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A. (2012). Sociální podnikání: definice, hnací síly a výzvy, [in:]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Volkmann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C.K.,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Tokarski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K. O., Ernst, K. (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business. Úvod a diskuse s případovými studiemi,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Springer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Gabler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Wiesbaden.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Huybrechts</w:t>
      </w:r>
      <w:proofErr w:type="spellEnd"/>
      <w:r w:rsidR="00B2035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B. ,</w:t>
      </w:r>
      <w:proofErr w:type="gram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Nicholls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B2035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A. (2013).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role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legitimacy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-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corporate</w:t>
      </w:r>
      <w:proofErr w:type="spellEnd"/>
      <w:proofErr w:type="gram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collaboration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[Úloha legitimity ve spolupráci sociálních podniků a podniků],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Enterprise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, 9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(2)</w:t>
      </w:r>
      <w:r w:rsidR="00B2035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0824B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130-146, DOI: 10.1108/SEJ-01-2013-0002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Jain</w:t>
      </w:r>
      <w:proofErr w:type="spellEnd"/>
      <w:r w:rsidR="00154B44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T.K. </w:t>
      </w:r>
      <w:r w:rsidR="004E5AE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(2019).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Towards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Theory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Green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NOLEGEIN-</w:t>
      </w:r>
      <w:proofErr w:type="spellStart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Planning</w:t>
      </w:r>
      <w:proofErr w:type="spellEnd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Development</w:t>
      </w:r>
      <w:proofErr w:type="spellEnd"/>
      <w:r w:rsidR="00827523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Management, 2</w:t>
      </w:r>
      <w:r w:rsidR="00827523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(1), 1-5.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Kickul</w:t>
      </w:r>
      <w:proofErr w:type="spellEnd"/>
      <w:r w:rsidR="00CA32E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Janssen-Selvadurai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CA32E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Griffiths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CA32E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M.D. (2012).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blended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value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framework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educating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next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cadre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(Smíšený hodnotový rámec pro vzdělávání příštího kádru sociálních podnikatelů),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Academy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Management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11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CA32EE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660383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479-493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Kolb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D.A. (1976). Management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process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California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Management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Review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18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(3), 21-31, DOI: 10.2307/41164649.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Kolb</w:t>
      </w:r>
      <w:proofErr w:type="spellEnd"/>
      <w:r w:rsidR="003B430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A.Y.,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Kolb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3B430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D.A. (2005).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styles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spaces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enhancing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experimental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higher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(Styly učení a učební prostory: posílení experimentálního učení ve vysokoškolském vzdělávání),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Academy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Management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(2)</w:t>
      </w:r>
      <w:r w:rsidR="003B430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193-212.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Kong, E. (2010). Inovační procesy v sociálních podnicích: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Intellectual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Capital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, 11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(2), 158-178.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Kong</w:t>
      </w:r>
      <w:r w:rsidR="0066214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E. (2019)</w:t>
      </w:r>
      <w:r w:rsidR="0066214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Využití a rozvoj znalostí v sociálních podnicích: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10</w:t>
      </w:r>
      <w:r w:rsidR="0066214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</w:t>
      </w:r>
      <w:r w:rsidR="0066214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)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193-210, DOI: 10.1080/19420676.2018.1541009.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Theme="minorEastAsia"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Krechovská</w:t>
      </w:r>
      <w:proofErr w:type="spellEnd"/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, M. </w:t>
      </w:r>
      <w:r w:rsidR="00893089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(2015). </w:t>
      </w:r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Finanční gramotnost jako cesta k udržitelnosti, </w:t>
      </w:r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Business Trend</w:t>
      </w:r>
      <w:r w:rsidR="00893089"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>2</w:t>
      </w:r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, 3-12</w:t>
      </w:r>
      <w:r w:rsidR="00616637"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bookmarkStart w:id="44" w:name="_Hlk108715129"/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Leadbeater</w:t>
      </w:r>
      <w:proofErr w:type="spellEnd"/>
      <w:r w:rsidR="00243FB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C. </w:t>
      </w:r>
      <w:r w:rsidR="00243FB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(1997).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rise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(Vzestup sociálního podnikání),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Demos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Londýn</w:t>
      </w:r>
      <w:bookmarkEnd w:id="44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.</w:t>
      </w:r>
      <w:proofErr w:type="gram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Light</w:t>
      </w:r>
      <w:proofErr w:type="spellEnd"/>
      <w:r w:rsidR="002705B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P.C. </w:t>
      </w:r>
      <w:r w:rsidR="002705B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(2008).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search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Brookings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Institution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Press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Washington.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sz w:val="18"/>
          <w:szCs w:val="18"/>
          <w:lang w:val="cs-CZ"/>
        </w:rPr>
      </w:pPr>
      <w:bookmarkStart w:id="45" w:name="_Hlk109033145"/>
      <w:r w:rsidRPr="00797EA7">
        <w:rPr>
          <w:rFonts w:cstheme="minorHAnsi"/>
          <w:sz w:val="18"/>
          <w:szCs w:val="18"/>
          <w:lang w:val="cs-CZ"/>
        </w:rPr>
        <w:t xml:space="preserve">Ekonomický graf </w:t>
      </w:r>
      <w:proofErr w:type="spellStart"/>
      <w:r w:rsidRPr="00797EA7">
        <w:rPr>
          <w:rFonts w:cstheme="minorHAnsi"/>
          <w:sz w:val="18"/>
          <w:szCs w:val="18"/>
          <w:lang w:val="cs-CZ"/>
        </w:rPr>
        <w:t>LinkedIn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(2022).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Global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Green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Skills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Report 2022, </w:t>
      </w:r>
      <w:hyperlink r:id="rId30" w:history="1"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https://economicgraph.linkedin.com/research/global-green-skills-report</w:t>
        </w:r>
      </w:hyperlink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sz w:val="18"/>
          <w:szCs w:val="18"/>
          <w:lang w:val="cs-CZ"/>
        </w:rPr>
      </w:pPr>
      <w:proofErr w:type="spellStart"/>
      <w:r w:rsidRPr="00797EA7">
        <w:rPr>
          <w:rFonts w:cstheme="minorHAnsi"/>
          <w:sz w:val="18"/>
          <w:szCs w:val="18"/>
          <w:lang w:val="cs-CZ"/>
        </w:rPr>
        <w:t>Maclean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R.,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Jagannathan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S.,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Sarvi</w:t>
      </w:r>
      <w:proofErr w:type="spellEnd"/>
      <w:r w:rsidRPr="00797EA7">
        <w:rPr>
          <w:rFonts w:cstheme="minorHAnsi"/>
          <w:sz w:val="18"/>
          <w:szCs w:val="18"/>
          <w:lang w:val="cs-CZ"/>
        </w:rPr>
        <w:t>, J. (</w:t>
      </w:r>
      <w:proofErr w:type="spellStart"/>
      <w:r w:rsidRPr="00797EA7">
        <w:rPr>
          <w:rFonts w:cstheme="minorHAnsi"/>
          <w:sz w:val="18"/>
          <w:szCs w:val="18"/>
          <w:lang w:val="cs-CZ"/>
        </w:rPr>
        <w:t>eds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.). (2013).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Skills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Development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for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Inclusive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Sustainable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Growth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Developing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sz w:val="18"/>
          <w:szCs w:val="18"/>
          <w:lang w:val="cs-CZ"/>
        </w:rPr>
        <w:t>Asia-Pacific</w:t>
      </w:r>
      <w:proofErr w:type="spellEnd"/>
      <w:r w:rsidRPr="00797EA7">
        <w:rPr>
          <w:rFonts w:cstheme="minorHAnsi"/>
          <w:i/>
          <w:iCs/>
          <w:sz w:val="18"/>
          <w:szCs w:val="18"/>
          <w:lang w:val="cs-CZ"/>
        </w:rPr>
        <w:t xml:space="preserve"> (Rozvoj dovedností pro inkluzivní a udržitelný růst v rozvíjející se Asii a Tichomoří)</w:t>
      </w:r>
      <w:r w:rsidRPr="00797EA7">
        <w:rPr>
          <w:rFonts w:cstheme="minorHAnsi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Springer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Dordrecht</w:t>
      </w:r>
      <w:proofErr w:type="spellEnd"/>
      <w:r w:rsidRPr="00797EA7">
        <w:rPr>
          <w:rFonts w:cstheme="minorHAnsi"/>
          <w:sz w:val="18"/>
          <w:szCs w:val="18"/>
          <w:lang w:val="cs-CZ"/>
        </w:rPr>
        <w:t>.</w:t>
      </w:r>
    </w:p>
    <w:bookmarkEnd w:id="45"/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Mair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J., Robinson, J.,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Hockerts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K. (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.). (2006).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Palgrave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MacMillan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New York.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Malberg</w:t>
      </w:r>
      <w:proofErr w:type="spell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K. </w:t>
      </w:r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</w:t>
      </w:r>
      <w:proofErr w:type="gram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Vaittinen</w:t>
      </w:r>
      <w:proofErr w:type="spell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I., </w:t>
      </w:r>
      <w:proofErr w:type="spellStart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Evans</w:t>
      </w:r>
      <w:proofErr w:type="spell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P., </w:t>
      </w:r>
      <w:proofErr w:type="spellStart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Schuurman</w:t>
      </w:r>
      <w:proofErr w:type="spell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D., </w:t>
      </w:r>
      <w:proofErr w:type="spellStart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Ståhlbröst</w:t>
      </w:r>
      <w:proofErr w:type="spell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A., </w:t>
      </w:r>
      <w:proofErr w:type="spellStart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Vervoort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K. (2017). 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Living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Lab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Methodology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Handbook,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U4IoT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Consortium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DOI: 10.5281/zenodo.1146321</w:t>
      </w:r>
      <w:r w:rsidRPr="00797EA7">
        <w:rPr>
          <w:rFonts w:cstheme="minorHAnsi"/>
          <w:color w:val="000000" w:themeColor="text1"/>
          <w:sz w:val="18"/>
          <w:szCs w:val="18"/>
          <w:lang w:val="cs-CZ"/>
        </w:rPr>
        <w:t>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Mets</w:t>
      </w:r>
      <w:proofErr w:type="spell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T., Holbrook</w:t>
      </w:r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Läänelaid</w:t>
      </w:r>
      <w:proofErr w:type="spellEnd"/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S. </w:t>
      </w:r>
      <w:r w:rsidR="0046104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2021).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Education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Challenges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Green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Transformation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(Výzvy podnikatelského vzdělávání pro ekologickou transformaci),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Administrative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Sciences</w:t>
      </w:r>
      <w:proofErr w:type="spellEnd"/>
      <w:r w:rsidR="00461046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11</w:t>
      </w:r>
      <w:r w:rsidR="00EF184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(1)</w:t>
      </w:r>
      <w:r w:rsidR="00461046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15, </w:t>
      </w:r>
      <w:r w:rsidR="00EF184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DOI: 10.3390/admsci11010015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Munoz</w:t>
      </w:r>
      <w:proofErr w:type="spellEnd"/>
      <w:r w:rsidR="005B55D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S.-</w:t>
      </w:r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</w:t>
      </w:r>
      <w:r w:rsidR="005B55D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</w:t>
      </w:r>
      <w:proofErr w:type="gram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Steiner, </w:t>
      </w:r>
      <w:r w:rsidR="005B55D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Farmer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5B55D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 (2015).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Processes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Community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-Led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Development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(Procesy komunitně vedeného rozvoje sociálních podniků):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Community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Development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, 50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5B55D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478-493.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sz w:val="18"/>
          <w:szCs w:val="18"/>
          <w:lang w:val="cs-CZ"/>
        </w:rPr>
        <w:lastRenderedPageBreak/>
        <w:t xml:space="preserve">Národní nadace pro environmentální vzdělávání, výchovu a osvětu, (2001). </w:t>
      </w:r>
      <w:r w:rsidRPr="00797EA7">
        <w:rPr>
          <w:rFonts w:cstheme="minorHAnsi"/>
          <w:i/>
          <w:iCs/>
          <w:sz w:val="18"/>
          <w:szCs w:val="18"/>
          <w:lang w:val="cs-CZ"/>
        </w:rPr>
        <w:t xml:space="preserve">Devátá výroční národní zpráva o postojích, znalostech a chování v oblasti životního prostředí, </w:t>
      </w:r>
      <w:r w:rsidRPr="00797EA7">
        <w:rPr>
          <w:rFonts w:cstheme="minorHAnsi"/>
          <w:sz w:val="18"/>
          <w:szCs w:val="18"/>
          <w:lang w:val="cs-CZ"/>
        </w:rPr>
        <w:t>NEETF, Washington DC.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Nicholls</w:t>
      </w:r>
      <w:proofErr w:type="spellEnd"/>
      <w:r w:rsidR="00105A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A. </w:t>
      </w:r>
      <w:r w:rsidR="00105A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(2010).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Legitimita sociálního podnikání: (2010): Sociální podnikání: reflexivní izomorfismus v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předparadigmatické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oblasti,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Theory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Practice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34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(4)</w:t>
      </w:r>
      <w:r w:rsidR="00105A36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611-633.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Nyssens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M. (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.). (2006).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Sociální podnikání. At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Crossroads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Market, Public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Policies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Civil Society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Routledge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London-New York.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eastAsia="Times New Roman"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sz w:val="18"/>
          <w:szCs w:val="18"/>
          <w:lang w:val="cs-CZ"/>
        </w:rPr>
        <w:t xml:space="preserve">OECD, (2010). </w:t>
      </w:r>
      <w:r w:rsidRPr="00797EA7">
        <w:rPr>
          <w:rFonts w:cstheme="minorHAnsi"/>
          <w:i/>
          <w:sz w:val="18"/>
          <w:szCs w:val="18"/>
          <w:lang w:val="cs-CZ"/>
        </w:rPr>
        <w:t xml:space="preserve">Podnikání, malé a střední podniky a inovace, </w:t>
      </w:r>
      <w:r w:rsidRPr="00797EA7">
        <w:rPr>
          <w:rFonts w:cstheme="minorHAnsi"/>
          <w:sz w:val="18"/>
          <w:szCs w:val="18"/>
          <w:lang w:val="cs-CZ"/>
        </w:rPr>
        <w:t>OECD, Paříž</w:t>
      </w:r>
      <w:hyperlink r:id="rId31" w:history="1">
        <w:r w:rsidR="000152CC"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.</w:t>
        </w:r>
      </w:hyperlink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http://rosted.nu/attachments/File/2010/SMEs_Entrepreneurship_and_Innovation_2010.pdf.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OECD, </w:t>
      </w:r>
      <w:r w:rsidR="00B718C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(2016).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Policy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brief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on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scaling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impact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enterprises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Lucemburk.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Oyero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O.,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Oyesomi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K.,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Abioye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T.,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Ajiboye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E., &amp;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Adedeji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T.K. (2015).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Behaioural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Practices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Climate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Change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Awareness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Ado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Odo/Ota,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Ogun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State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Nigeria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[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Behaiourální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praktiky a povědomí o změně klimatu v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Ado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Odo/Ota, stát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Ogun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Nigérie]: </w:t>
      </w:r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Mezinárodní konference o afrických rozvojových otázkách (CU-ICADI) 2015: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Implications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Communication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Development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Agenda: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Economic</w:t>
      </w:r>
      <w:proofErr w:type="spell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Models</w:t>
      </w:r>
      <w:proofErr w:type="spell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Development</w:t>
      </w:r>
      <w:proofErr w:type="spell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Track</w:t>
      </w:r>
      <w:r w:rsidRPr="00797EA7">
        <w:rPr>
          <w:rFonts w:cstheme="minorHAnsi"/>
          <w:color w:val="000000" w:themeColor="text1"/>
          <w:sz w:val="18"/>
          <w:szCs w:val="18"/>
          <w:lang w:val="cs-CZ"/>
        </w:rPr>
        <w:t>, s. 359-364.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sz w:val="18"/>
          <w:szCs w:val="18"/>
          <w:lang w:val="cs-CZ"/>
        </w:rPr>
        <w:t xml:space="preserve">Pavlova, M. (2017). </w:t>
      </w:r>
      <w:r w:rsidRPr="00797EA7">
        <w:rPr>
          <w:rFonts w:cstheme="minorHAnsi"/>
          <w:i/>
          <w:sz w:val="18"/>
          <w:szCs w:val="18"/>
          <w:lang w:val="cs-CZ"/>
        </w:rPr>
        <w:t xml:space="preserve">Zelené dovednosti jako agenda kompetenčního hnutí v odborném a profesním vzdělávání, </w:t>
      </w:r>
      <w:r w:rsidRPr="00797EA7">
        <w:rPr>
          <w:rFonts w:cstheme="minorHAnsi"/>
          <w:sz w:val="18"/>
          <w:szCs w:val="18"/>
          <w:lang w:val="cs-CZ"/>
        </w:rPr>
        <w:t>[</w:t>
      </w:r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 xml:space="preserve">in:] </w:t>
      </w:r>
      <w:proofErr w:type="spellStart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>Mulder</w:t>
      </w:r>
      <w:proofErr w:type="spellEnd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>, M. (</w:t>
      </w:r>
      <w:proofErr w:type="spellStart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>ed</w:t>
      </w:r>
      <w:proofErr w:type="spellEnd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 xml:space="preserve">.), </w:t>
      </w:r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 xml:space="preserve">Kompetenční odborné a profesní vzdělávání. Technické a odborné vzdělávání a příprava: </w:t>
      </w:r>
      <w:proofErr w:type="spellStart"/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>Issues</w:t>
      </w:r>
      <w:proofErr w:type="spellEnd"/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 xml:space="preserve">, </w:t>
      </w:r>
      <w:proofErr w:type="spellStart"/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>Concerns</w:t>
      </w:r>
      <w:proofErr w:type="spellEnd"/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 xml:space="preserve"> and </w:t>
      </w:r>
      <w:proofErr w:type="spellStart"/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>Prospects</w:t>
      </w:r>
      <w:proofErr w:type="spellEnd"/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 xml:space="preserve"> (Otázky, obavy a perspektivy)</w:t>
      </w:r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 xml:space="preserve">, </w:t>
      </w:r>
      <w:r w:rsidRPr="00797EA7">
        <w:rPr>
          <w:rFonts w:cstheme="minorHAnsi"/>
          <w:i/>
          <w:iCs/>
          <w:color w:val="333333"/>
          <w:sz w:val="18"/>
          <w:szCs w:val="18"/>
          <w:shd w:val="clear" w:color="auto" w:fill="FCFCFC"/>
          <w:lang w:val="cs-CZ"/>
        </w:rPr>
        <w:t>23</w:t>
      </w:r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 xml:space="preserve">. </w:t>
      </w:r>
      <w:proofErr w:type="spellStart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>Springer</w:t>
      </w:r>
      <w:proofErr w:type="spellEnd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 xml:space="preserve">, </w:t>
      </w:r>
      <w:proofErr w:type="spellStart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>Cham</w:t>
      </w:r>
      <w:proofErr w:type="spellEnd"/>
      <w:r w:rsidRPr="00797EA7">
        <w:rPr>
          <w:rFonts w:cstheme="minorHAnsi"/>
          <w:color w:val="333333"/>
          <w:sz w:val="18"/>
          <w:szCs w:val="18"/>
          <w:shd w:val="clear" w:color="auto" w:fill="FCFCFC"/>
          <w:lang w:val="cs-CZ"/>
        </w:rPr>
        <w:t>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Peredo</w:t>
      </w:r>
      <w:proofErr w:type="spellEnd"/>
      <w:r w:rsidR="00B718C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A.M.,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McLean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B718C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 (2006).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Sociální podnikání: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World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Business</w:t>
      </w:r>
      <w:r w:rsidR="00B718C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41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(1)</w:t>
      </w:r>
      <w:r w:rsidR="00B718C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56-65.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Pomerantz</w:t>
      </w:r>
      <w:proofErr w:type="spellEnd"/>
      <w:r w:rsidR="008743F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 </w:t>
      </w:r>
      <w:r w:rsidR="008743F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(2005).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business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in a "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down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economy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",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In Business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25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8743F9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25-28.</w:t>
      </w:r>
    </w:p>
    <w:p w:rsidR="00B04D89" w:rsidRPr="00797EA7" w:rsidRDefault="00A46B5A">
      <w:pPr>
        <w:pStyle w:val="Odstavecseseznamem"/>
        <w:numPr>
          <w:ilvl w:val="0"/>
          <w:numId w:val="17"/>
        </w:numPr>
        <w:spacing w:after="60"/>
        <w:ind w:left="426" w:hanging="426"/>
        <w:contextualSpacing w:val="0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Ragheb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>, A.A., El-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Shimy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H.,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Ragheb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G.A. (2016). Zelená architektura: A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Concept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color w:val="000000" w:themeColor="text1"/>
          <w:sz w:val="18"/>
          <w:szCs w:val="18"/>
          <w:lang w:val="cs-CZ"/>
        </w:rPr>
        <w:t>Sustainability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proofErr w:type="gram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Procedia</w:t>
      </w:r>
      <w:proofErr w:type="spell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-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proofErr w:type="gram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Behavioral</w:t>
      </w:r>
      <w:proofErr w:type="spellEnd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Sciences</w:t>
      </w:r>
      <w:proofErr w:type="spellEnd"/>
      <w:r w:rsidRPr="00797EA7">
        <w:rPr>
          <w:rFonts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cstheme="minorHAnsi"/>
          <w:i/>
          <w:iCs/>
          <w:color w:val="000000" w:themeColor="text1"/>
          <w:sz w:val="18"/>
          <w:szCs w:val="18"/>
          <w:lang w:val="cs-CZ"/>
        </w:rPr>
        <w:t>216</w:t>
      </w:r>
      <w:r w:rsidRPr="00797EA7">
        <w:rPr>
          <w:rFonts w:cstheme="minorHAnsi"/>
          <w:color w:val="000000" w:themeColor="text1"/>
          <w:sz w:val="18"/>
          <w:szCs w:val="18"/>
          <w:lang w:val="cs-CZ"/>
        </w:rPr>
        <w:t>, 778-787, DOI: 10.1016/J.SBSPRO.2015.12.075.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Rhoden</w:t>
      </w:r>
      <w:proofErr w:type="spellEnd"/>
      <w:r w:rsidR="00600C6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L. </w:t>
      </w:r>
      <w:r w:rsidR="00600C6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2014).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Capacity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NGOs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to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Become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Sustainable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by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Creating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(Schopnost nevládních organizací stát se udržitelnými vytvářením sociálních podniků)</w:t>
      </w:r>
      <w:r w:rsidR="00600C6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Small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Business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Development</w:t>
      </w:r>
      <w:proofErr w:type="spellEnd"/>
      <w:r w:rsidR="00600C61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2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(2)</w:t>
      </w:r>
      <w:r w:rsidR="00600C6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1-36.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Ridley-Duff</w:t>
      </w:r>
      <w:proofErr w:type="spellEnd"/>
      <w:r w:rsidR="00980D9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R. </w:t>
      </w:r>
      <w:r w:rsidR="00980D9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(2008).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as a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Socially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Rational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Business</w:t>
      </w:r>
      <w:r w:rsidR="00980D9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International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Behaviour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Research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(5)</w:t>
      </w:r>
      <w:r w:rsidR="00980D9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291-312.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Rifkin</w:t>
      </w:r>
      <w:proofErr w:type="spellEnd"/>
      <w:r w:rsidR="000A60B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 </w:t>
      </w:r>
      <w:r w:rsidR="000A60B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(2012).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Trzecia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rewolucja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przemysłowa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Sonia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Draga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Katowice</w:t>
      </w:r>
      <w:r w:rsidR="000A60B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sz w:val="18"/>
          <w:szCs w:val="18"/>
          <w:lang w:val="cs-CZ" w:eastAsia="pl-PL"/>
        </w:rPr>
        <w:t>Sern</w:t>
      </w:r>
      <w:proofErr w:type="spellEnd"/>
      <w:r w:rsidRPr="00797EA7">
        <w:rPr>
          <w:rFonts w:eastAsia="Times New Roman" w:cstheme="minorHAnsi"/>
          <w:sz w:val="18"/>
          <w:szCs w:val="18"/>
          <w:lang w:val="cs-CZ" w:eastAsia="pl-PL"/>
        </w:rPr>
        <w:t xml:space="preserve">, L.Ch. (2018). Green </w:t>
      </w:r>
      <w:proofErr w:type="spellStart"/>
      <w:r w:rsidRPr="00797EA7">
        <w:rPr>
          <w:rFonts w:eastAsia="Times New Roman" w:cstheme="minorHAnsi"/>
          <w:sz w:val="18"/>
          <w:szCs w:val="18"/>
          <w:lang w:val="cs-CZ" w:eastAsia="pl-PL"/>
        </w:rPr>
        <w:t>Skills</w:t>
      </w:r>
      <w:proofErr w:type="spellEnd"/>
      <w:r w:rsidRPr="00797EA7">
        <w:rPr>
          <w:rFonts w:eastAsia="Times New Roman" w:cstheme="minorHAnsi"/>
          <w:sz w:val="18"/>
          <w:szCs w:val="18"/>
          <w:lang w:val="cs-CZ" w:eastAsia="pl-PL"/>
        </w:rPr>
        <w:t xml:space="preserve"> </w:t>
      </w:r>
      <w:proofErr w:type="spellStart"/>
      <w:r w:rsidRPr="00797EA7">
        <w:rPr>
          <w:rFonts w:eastAsia="Times New Roman" w:cstheme="minorHAnsi"/>
          <w:sz w:val="18"/>
          <w:szCs w:val="18"/>
          <w:lang w:val="cs-CZ" w:eastAsia="pl-PL"/>
        </w:rPr>
        <w:t>for</w:t>
      </w:r>
      <w:proofErr w:type="spellEnd"/>
      <w:r w:rsidRPr="00797EA7">
        <w:rPr>
          <w:rFonts w:eastAsia="Times New Roman" w:cstheme="minorHAnsi"/>
          <w:sz w:val="18"/>
          <w:szCs w:val="18"/>
          <w:lang w:val="cs-CZ" w:eastAsia="pl-PL"/>
        </w:rPr>
        <w:t xml:space="preserve"> Green </w:t>
      </w:r>
      <w:proofErr w:type="spellStart"/>
      <w:r w:rsidRPr="00797EA7">
        <w:rPr>
          <w:rFonts w:eastAsia="Times New Roman" w:cstheme="minorHAnsi"/>
          <w:sz w:val="18"/>
          <w:szCs w:val="18"/>
          <w:lang w:val="cs-CZ" w:eastAsia="pl-PL"/>
        </w:rPr>
        <w:t>Industry</w:t>
      </w:r>
      <w:proofErr w:type="spellEnd"/>
      <w:r w:rsidRPr="00797EA7">
        <w:rPr>
          <w:rFonts w:eastAsia="Times New Roman" w:cstheme="minorHAnsi"/>
          <w:sz w:val="18"/>
          <w:szCs w:val="18"/>
          <w:lang w:val="cs-CZ" w:eastAsia="pl-PL"/>
        </w:rPr>
        <w:t xml:space="preserve">: </w:t>
      </w:r>
      <w:proofErr w:type="spellStart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>Journal</w:t>
      </w:r>
      <w:proofErr w:type="spellEnd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>of</w:t>
      </w:r>
      <w:proofErr w:type="spellEnd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>Physics</w:t>
      </w:r>
      <w:proofErr w:type="spellEnd"/>
      <w:r w:rsidRPr="00797EA7">
        <w:rPr>
          <w:rFonts w:eastAsia="Times New Roman" w:cstheme="minorHAnsi"/>
          <w:sz w:val="18"/>
          <w:szCs w:val="18"/>
          <w:lang w:val="cs-CZ" w:eastAsia="pl-PL"/>
        </w:rPr>
        <w:t>:</w:t>
      </w:r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>Conference</w:t>
      </w:r>
      <w:proofErr w:type="spellEnd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>Series</w:t>
      </w:r>
      <w:proofErr w:type="spellEnd"/>
      <w:r w:rsidRPr="00797EA7">
        <w:rPr>
          <w:rFonts w:eastAsia="Times New Roman" w:cstheme="minorHAnsi"/>
          <w:i/>
          <w:iCs/>
          <w:sz w:val="18"/>
          <w:szCs w:val="18"/>
          <w:lang w:val="cs-CZ" w:eastAsia="pl-PL"/>
        </w:rPr>
        <w:t>, 1019</w:t>
      </w:r>
      <w:r w:rsidRPr="00797EA7">
        <w:rPr>
          <w:rFonts w:eastAsia="Times New Roman" w:cstheme="minorHAnsi"/>
          <w:sz w:val="18"/>
          <w:szCs w:val="18"/>
          <w:lang w:val="cs-CZ" w:eastAsia="pl-PL"/>
        </w:rPr>
        <w:t xml:space="preserve">, 012030, DOI: </w:t>
      </w:r>
      <w:r w:rsidRPr="00797EA7">
        <w:rPr>
          <w:rFonts w:cstheme="minorHAnsi"/>
          <w:sz w:val="18"/>
          <w:szCs w:val="18"/>
          <w:lang w:val="cs-CZ"/>
        </w:rPr>
        <w:t>10.1088/1742-6596/1019/1/012030</w:t>
      </w:r>
      <w:r w:rsidRPr="00797EA7">
        <w:rPr>
          <w:rFonts w:eastAsia="Times New Roman" w:cstheme="minorHAnsi"/>
          <w:sz w:val="18"/>
          <w:szCs w:val="18"/>
          <w:lang w:val="cs-CZ" w:eastAsia="pl-PL"/>
        </w:rPr>
        <w:t>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Sharir</w:t>
      </w:r>
      <w:proofErr w:type="spellEnd"/>
      <w:r w:rsidR="009B6A6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Lerner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9B6A6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 (2006).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Gauging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success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ventures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initiated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by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individual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World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Business</w:t>
      </w:r>
      <w:r w:rsidR="009B6A6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41</w:t>
      </w:r>
      <w:r w:rsidR="009B6A6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1)</w:t>
      </w:r>
      <w:r w:rsidR="009B6A6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031B6F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6-20, DOI: 10.1016/j.jwb.2005.09.004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Smallbone</w:t>
      </w:r>
      <w:proofErr w:type="spellEnd"/>
      <w:r w:rsidR="000C65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Evans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0C65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M.,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Ekanem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0C65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I.,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Butters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0C65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S. (2001).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Researching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Enterprise</w:t>
      </w:r>
      <w:proofErr w:type="spellEnd"/>
      <w:r w:rsidR="000C65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Centre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for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Enterprise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Economic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Development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Research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Middlesex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University Business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School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0C6591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Londýn.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Smith</w:t>
      </w:r>
      <w:r w:rsidR="00ED530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G. (2005)</w:t>
      </w:r>
      <w:r w:rsidR="00ED530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Green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Citizenship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Economy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Environmental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Politics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14</w:t>
      </w:r>
      <w:r w:rsidR="00ED530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</w:t>
      </w:r>
      <w:r w:rsidR="00ED530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),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273-289, DOI: 10.1080/09644010500055175.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cstheme="minorHAnsi"/>
          <w:sz w:val="18"/>
          <w:szCs w:val="18"/>
          <w:lang w:val="cs-CZ"/>
        </w:rPr>
        <w:t>Strietska-Ilina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O., Hofmann, Ch.,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Durán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sz w:val="18"/>
          <w:szCs w:val="18"/>
          <w:lang w:val="cs-CZ"/>
        </w:rPr>
        <w:t>Haro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M., </w:t>
      </w:r>
      <w:proofErr w:type="spellStart"/>
      <w:r w:rsidRPr="00797EA7">
        <w:rPr>
          <w:rFonts w:cstheme="minorHAnsi"/>
          <w:sz w:val="18"/>
          <w:szCs w:val="18"/>
          <w:lang w:val="cs-CZ"/>
        </w:rPr>
        <w:t>Jeon</w:t>
      </w:r>
      <w:proofErr w:type="spellEnd"/>
      <w:r w:rsidRPr="00797EA7">
        <w:rPr>
          <w:rFonts w:cstheme="minorHAnsi"/>
          <w:sz w:val="18"/>
          <w:szCs w:val="18"/>
          <w:lang w:val="cs-CZ"/>
        </w:rPr>
        <w:t xml:space="preserve">, S. (2011).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Skills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for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green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jobs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: a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global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view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synthesis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report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based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on 21 country </w:t>
      </w:r>
      <w:proofErr w:type="spellStart"/>
      <w:r w:rsidRPr="00797EA7">
        <w:rPr>
          <w:rFonts w:cstheme="minorHAnsi"/>
          <w:i/>
          <w:sz w:val="18"/>
          <w:szCs w:val="18"/>
          <w:lang w:val="cs-CZ"/>
        </w:rPr>
        <w:t>studies</w:t>
      </w:r>
      <w:proofErr w:type="spellEnd"/>
      <w:r w:rsidRPr="00797EA7">
        <w:rPr>
          <w:rFonts w:cstheme="minorHAnsi"/>
          <w:i/>
          <w:sz w:val="18"/>
          <w:szCs w:val="18"/>
          <w:lang w:val="cs-CZ"/>
        </w:rPr>
        <w:t xml:space="preserve"> (Dovednosti pro zelená pracovní místa: globální pohled: souhrnná zpráva založená na studiích 21 zemí)</w:t>
      </w:r>
      <w:r w:rsidRPr="00797EA7">
        <w:rPr>
          <w:rFonts w:cstheme="minorHAnsi"/>
          <w:sz w:val="18"/>
          <w:szCs w:val="18"/>
          <w:lang w:val="cs-CZ"/>
        </w:rPr>
        <w:t xml:space="preserve">, Mezinárodní úřad práce, odbor dovedností a zaměstnatelnosti, oddělení tvorby pracovních míst a rozvoje podniků, Ženeva, </w:t>
      </w:r>
      <w:hyperlink r:id="rId32" w:history="1"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https://www.ilo.org/wcmsp5/groups/public/---</w:t>
        </w:r>
        <w:proofErr w:type="spellStart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dgreports</w:t>
        </w:r>
        <w:proofErr w:type="spellEnd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/---</w:t>
        </w:r>
        <w:proofErr w:type="spellStart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dcomm</w:t>
        </w:r>
        <w:proofErr w:type="spellEnd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/---</w:t>
        </w:r>
        <w:proofErr w:type="spellStart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publ</w:t>
        </w:r>
        <w:proofErr w:type="spellEnd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/</w:t>
        </w:r>
        <w:proofErr w:type="spellStart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documents</w:t>
        </w:r>
        <w:proofErr w:type="spellEnd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/</w:t>
        </w:r>
        <w:proofErr w:type="spellStart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publication</w:t>
        </w:r>
        <w:proofErr w:type="spellEnd"/>
        <w:r w:rsidRPr="00797EA7">
          <w:rPr>
            <w:rStyle w:val="Hypertextovodkaz"/>
            <w:rFonts w:eastAsiaTheme="minorEastAsia" w:cstheme="minorHAnsi"/>
            <w:color w:val="000000" w:themeColor="text1"/>
            <w:sz w:val="18"/>
            <w:szCs w:val="18"/>
            <w:lang w:val="cs-CZ"/>
          </w:rPr>
          <w:t>/wcms_159585.pdf.</w:t>
        </w:r>
      </w:hyperlink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cstheme="minorHAnsi"/>
          <w:sz w:val="18"/>
          <w:szCs w:val="18"/>
          <w:lang w:val="cs-CZ"/>
        </w:rPr>
        <w:t xml:space="preserve">Szczygieł, E., (2020). </w:t>
      </w:r>
      <w:r w:rsidRPr="00797EA7">
        <w:rPr>
          <w:rFonts w:cstheme="minorHAnsi"/>
          <w:i/>
          <w:iCs/>
          <w:sz w:val="18"/>
          <w:szCs w:val="18"/>
          <w:lang w:val="cs-CZ"/>
        </w:rPr>
        <w:t xml:space="preserve">Cirkulární chování v domácnostech a kvalita života jejich obyvatel, </w:t>
      </w:r>
      <w:r w:rsidRPr="00797EA7">
        <w:rPr>
          <w:rFonts w:cstheme="minorHAnsi"/>
          <w:sz w:val="18"/>
          <w:szCs w:val="18"/>
          <w:lang w:val="cs-CZ"/>
        </w:rPr>
        <w:t>Výzkumný grant Pedagogické univerzity v Krakově, č. BN.</w:t>
      </w:r>
      <w:proofErr w:type="gramStart"/>
      <w:r w:rsidRPr="00797EA7">
        <w:rPr>
          <w:rFonts w:cstheme="minorHAnsi"/>
          <w:sz w:val="18"/>
          <w:szCs w:val="18"/>
          <w:lang w:val="cs-CZ"/>
        </w:rPr>
        <w:t>610 - 64</w:t>
      </w:r>
      <w:proofErr w:type="gramEnd"/>
      <w:r w:rsidRPr="00797EA7">
        <w:rPr>
          <w:rFonts w:cstheme="minorHAnsi"/>
          <w:sz w:val="18"/>
          <w:szCs w:val="18"/>
          <w:lang w:val="cs-CZ"/>
        </w:rPr>
        <w:t>/PBU/2020.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Taylor</w:t>
      </w:r>
      <w:proofErr w:type="spellEnd"/>
      <w:r w:rsidR="00DA6D3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N.,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Hobbs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DA6D3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R.,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Nilsson</w:t>
      </w:r>
      <w:proofErr w:type="spellEnd"/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gramStart"/>
      <w:r w:rsidR="00DA6D3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F. </w:t>
      </w:r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</w:t>
      </w:r>
      <w:proofErr w:type="gramEnd"/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O'Halloran</w:t>
      </w:r>
      <w:proofErr w:type="spellEnd"/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K., </w:t>
      </w:r>
      <w:proofErr w:type="spellStart"/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Preisser</w:t>
      </w:r>
      <w:proofErr w:type="spellEnd"/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C. </w:t>
      </w:r>
      <w:r w:rsidR="00DA6D3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(2000).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Vzestup pojmu sociální podnikání v tištěných publikacích.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Frontiers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Research</w:t>
      </w:r>
      <w:proofErr w:type="spellEnd"/>
      <w:r w:rsidR="00D41EEC"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20</w:t>
      </w:r>
      <w:r w:rsidR="00D41EEC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(XXXVI).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Thomsen</w:t>
      </w:r>
      <w:proofErr w:type="spellEnd"/>
      <w:r w:rsidR="00651A6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B.,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Muurlink</w:t>
      </w:r>
      <w:proofErr w:type="spellEnd"/>
      <w:r w:rsidR="00651A6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O.,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Best</w:t>
      </w:r>
      <w:r w:rsidR="00651A6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T.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(2021)</w:t>
      </w:r>
      <w:r w:rsidR="00651A6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Backpack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Bootstrapping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, 12</w:t>
      </w:r>
      <w:r w:rsidR="00651A6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</w:t>
      </w:r>
      <w:r w:rsidR="00651A62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),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238-264, DOI: 10.1080/19420676.2019.1689155.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 xml:space="preserve">UNEP, (2012). </w:t>
      </w:r>
      <w:r w:rsidRPr="00797EA7">
        <w:rPr>
          <w:rFonts w:eastAsiaTheme="minorEastAsia" w:cstheme="minorHAnsi"/>
          <w:i/>
          <w:iCs/>
          <w:color w:val="000000" w:themeColor="text1"/>
          <w:sz w:val="18"/>
          <w:szCs w:val="18"/>
          <w:lang w:val="cs-CZ"/>
        </w:rPr>
        <w:t xml:space="preserve">Měření pokroku na cestě k zelené ekonomice, </w:t>
      </w:r>
      <w:r w:rsidRPr="00797EA7">
        <w:rPr>
          <w:rFonts w:eastAsiaTheme="minorEastAsia" w:cstheme="minorHAnsi"/>
          <w:color w:val="000000" w:themeColor="text1"/>
          <w:sz w:val="18"/>
          <w:szCs w:val="18"/>
          <w:lang w:val="cs-CZ"/>
        </w:rPr>
        <w:t>zpráva Programu OSN pro životní prostředí.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Valter, C., Alain, </w:t>
      </w:r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Damiano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C.,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Francesca, </w:t>
      </w:r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R.,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Mariangela</w:t>
      </w:r>
      <w:proofErr w:type="spellEnd"/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L. 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2017). Place-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Based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Network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Organizations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Embedded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(Místní síťové organizace a zakotvené podnikatelské učení):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International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Entrepreneurial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Behaviour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Research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23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(3)</w:t>
      </w:r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504-523, </w:t>
      </w:r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DOI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: 10.1108/IJEBR-12-2015-0303</w:t>
      </w:r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Warren</w:t>
      </w:r>
      <w:proofErr w:type="spellEnd"/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M.E. (2001)</w:t>
      </w:r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.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Democracy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Association</w:t>
      </w:r>
      <w:proofErr w:type="spellEnd"/>
      <w:r w:rsidR="00437A2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Princeton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University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Press</w:t>
      </w:r>
      <w:proofErr w:type="spellEnd"/>
      <w:r w:rsidR="009553B5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Princeton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-New-York. 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Weerawardena</w:t>
      </w:r>
      <w:proofErr w:type="spellEnd"/>
      <w:r w:rsidR="008D15B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Sullivan-Mort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8D15B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G. (2006).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Investigating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Entrepreneurship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World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Business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41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(1)</w:t>
      </w:r>
      <w:r w:rsidR="008D15BD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21-35.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Wenger</w:t>
      </w:r>
      <w:proofErr w:type="spellEnd"/>
      <w:r w:rsidR="00200A6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E. </w:t>
      </w:r>
      <w:r w:rsidR="00200A6A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(1998).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Community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practice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a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brief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introduction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Learning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in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Doing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15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(4), 1-7. 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color w:val="000000" w:themeColor="text1"/>
          <w:sz w:val="18"/>
          <w:szCs w:val="18"/>
          <w:lang w:val="cs-CZ"/>
        </w:r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Yunus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M. (2008).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Vytvoření světa bez chudoby: sociální podnikání a budoucnost kapitalismu,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Public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Affairs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, New York.</w:t>
      </w:r>
    </w:p>
    <w:p w:rsidR="00B04D89" w:rsidRPr="00797EA7" w:rsidRDefault="00A46B5A">
      <w:pPr>
        <w:pStyle w:val="Textpoznpodarou"/>
        <w:numPr>
          <w:ilvl w:val="0"/>
          <w:numId w:val="17"/>
        </w:numPr>
        <w:spacing w:after="60"/>
        <w:ind w:left="426" w:hanging="426"/>
        <w:rPr>
          <w:rFonts w:cstheme="minorHAnsi"/>
          <w:sz w:val="18"/>
          <w:szCs w:val="18"/>
          <w:lang w:val="cs-CZ"/>
        </w:rPr>
        <w:sectPr w:rsidR="00B04D89" w:rsidRPr="00797EA7" w:rsidSect="00A85F0C">
          <w:headerReference w:type="default" r:id="rId33"/>
          <w:footerReference w:type="default" r:id="rId34"/>
          <w:headerReference w:type="first" r:id="rId35"/>
          <w:pgSz w:w="11900" w:h="16840" w:code="9"/>
          <w:pgMar w:top="1418" w:right="1418" w:bottom="1418" w:left="1418" w:header="425" w:footer="0" w:gutter="0"/>
          <w:pgNumType w:start="1"/>
          <w:cols w:space="708"/>
          <w:titlePg/>
          <w:docGrid w:linePitch="360"/>
        </w:sectPr>
      </w:pP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lastRenderedPageBreak/>
        <w:t>Zahra</w:t>
      </w:r>
      <w:proofErr w:type="spellEnd"/>
      <w:r w:rsidR="006E733F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gram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S.A. ,</w:t>
      </w:r>
      <w:proofErr w:type="gram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Gedajlovic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6E733F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E.,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Neubaum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6E733F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D.O.,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Shulman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6E733F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J.M. (2009). 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A typology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social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entrepreneurs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: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motives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search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processes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and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ethical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challenges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 (Typologie sociálních podnikatelů: motivy, procesy hledání a etické výzvy),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Journal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of</w:t>
      </w:r>
      <w:proofErr w:type="spellEnd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 xml:space="preserve"> Business </w:t>
      </w:r>
      <w:proofErr w:type="spellStart"/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Venturing</w:t>
      </w:r>
      <w:proofErr w:type="spellEnd"/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Pr="00797EA7">
        <w:rPr>
          <w:rFonts w:eastAsia="Times New Roman" w:cstheme="minorHAnsi"/>
          <w:i/>
          <w:iCs/>
          <w:color w:val="000000" w:themeColor="text1"/>
          <w:sz w:val="18"/>
          <w:szCs w:val="18"/>
          <w:lang w:val="cs-CZ"/>
        </w:rPr>
        <w:t>24</w:t>
      </w:r>
      <w:r w:rsidR="006E733F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(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5)</w:t>
      </w:r>
      <w:r w:rsidR="006E733F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 xml:space="preserve">, </w:t>
      </w:r>
      <w:r w:rsidR="00DC5038"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519-532, DOI: 10.1016/j.jbusvent.2008.04.007</w:t>
      </w:r>
      <w:r w:rsidRPr="00797EA7">
        <w:rPr>
          <w:rFonts w:eastAsia="Times New Roman" w:cstheme="minorHAnsi"/>
          <w:color w:val="000000" w:themeColor="text1"/>
          <w:sz w:val="18"/>
          <w:szCs w:val="18"/>
          <w:lang w:val="cs-CZ"/>
        </w:rPr>
        <w:t>.</w:t>
      </w:r>
    </w:p>
    <w:p w:rsidR="006764AC" w:rsidRPr="00797EA7" w:rsidRDefault="006764AC" w:rsidP="006764AC">
      <w:pPr>
        <w:spacing w:before="240"/>
        <w:jc w:val="center"/>
        <w:rPr>
          <w:rFonts w:eastAsia="Times New Roman" w:cstheme="minorHAnsi"/>
          <w:lang w:val="cs-CZ" w:eastAsia="pl-PL"/>
        </w:rPr>
      </w:pPr>
    </w:p>
    <w:p w:rsidR="00B04D89" w:rsidRPr="00797EA7" w:rsidRDefault="00A46B5A">
      <w:pPr>
        <w:spacing w:before="240"/>
        <w:jc w:val="center"/>
        <w:rPr>
          <w:lang w:val="cs-CZ"/>
        </w:rPr>
      </w:pPr>
      <w:r w:rsidRPr="00797EA7">
        <w:rPr>
          <w:lang w:val="cs-CZ"/>
        </w:rPr>
        <w:t xml:space="preserve">Tato publikace je výsledkem projektu "Využití potenciálu sociální ekonomiky k zelené transformaci prostřednictvím zřízení sociálně orientovaných zelených laboratoří na univerzitách" (SDG </w:t>
      </w:r>
      <w:proofErr w:type="spellStart"/>
      <w:r w:rsidRPr="00797EA7">
        <w:rPr>
          <w:lang w:val="cs-CZ"/>
        </w:rPr>
        <w:t>Labs</w:t>
      </w:r>
      <w:proofErr w:type="spellEnd"/>
      <w:r w:rsidRPr="00797EA7">
        <w:rPr>
          <w:lang w:val="cs-CZ"/>
        </w:rPr>
        <w:t>).</w:t>
      </w:r>
    </w:p>
    <w:p w:rsidR="00B04D89" w:rsidRPr="00797EA7" w:rsidRDefault="00A46B5A">
      <w:pPr>
        <w:spacing w:after="120"/>
        <w:jc w:val="center"/>
        <w:textAlignment w:val="baseline"/>
        <w:rPr>
          <w:lang w:val="cs-CZ"/>
        </w:rPr>
      </w:pPr>
      <w:r w:rsidRPr="00797EA7">
        <w:rPr>
          <w:rFonts w:eastAsia="Times New Roman" w:cstheme="minorHAnsi"/>
          <w:b/>
          <w:bCs/>
          <w:noProof/>
          <w:color w:val="538135" w:themeColor="accent6" w:themeShade="BF"/>
          <w:sz w:val="40"/>
          <w:szCs w:val="40"/>
          <w:lang w:val="cs-CZ"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0C03CB" wp14:editId="6A756250">
                <wp:simplePos x="0" y="0"/>
                <wp:positionH relativeFrom="margin">
                  <wp:align>left</wp:align>
                </wp:positionH>
                <wp:positionV relativeFrom="paragraph">
                  <wp:posOffset>7202805</wp:posOffset>
                </wp:positionV>
                <wp:extent cx="6159500" cy="679450"/>
                <wp:effectExtent l="0" t="0" r="0" b="635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19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6300"/>
                            </w:tblGrid>
                            <w:tr w:rsidR="00797EA7" w:rsidRPr="00FD45A5" w:rsidTr="00A46B5A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797EA7" w:rsidRDefault="00797EA7" w:rsidP="002A3ED9">
                                  <w:pPr>
                                    <w:pStyle w:val="Zpa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64C9AD" wp14:editId="4099A420">
                                        <wp:extent cx="1843405" cy="386715"/>
                                        <wp:effectExtent l="0" t="0" r="4445" b="0"/>
                                        <wp:docPr id="23" name="Obraz 23" descr="Obraz zawierający tekst&#10;&#10;Opis wygenerowany automatyczni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Obraz 3" descr="Obraz zawierający tekst&#10;&#10;Opis wygenerowany automatycznie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3405" cy="386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shd w:val="clear" w:color="auto" w:fill="auto"/>
                                  <w:vAlign w:val="center"/>
                                </w:tcPr>
                                <w:p w:rsidR="00797EA7" w:rsidRDefault="00797EA7">
                                  <w:pPr>
                                    <w:pStyle w:val="Zpat"/>
                                    <w:jc w:val="both"/>
                                  </w:pPr>
                                  <w:r w:rsidRPr="00FD45A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Podpora Evropské komise pro vydání této publikace nepředstavuje schválení jejího obsahu, který odráží pouze názory autorů, a Komise nenese odpovědnost za jakékoli použití informací v ní obsažených.</w:t>
                                  </w:r>
                                </w:p>
                              </w:tc>
                            </w:tr>
                          </w:tbl>
                          <w:p w:rsidR="00797EA7" w:rsidRPr="002A3ED9" w:rsidRDefault="00797EA7" w:rsidP="00581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03CB" id="_x0000_s1058" type="#_x0000_t202" style="position:absolute;left:0;text-align:left;margin-left:0;margin-top:567.15pt;width:485pt;height:53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" filled="f" stroked="f">
                <v:textbox>
                  <w:txbxContent>
                    <w:tbl>
                      <w:tblPr>
                        <w:tblW w:w="9419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6300"/>
                      </w:tblGrid>
                      <w:tr w:rsidR="00797EA7" w:rsidRPr="00FD45A5" w:rsidTr="00A46B5A"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797EA7" w:rsidRDefault="00797EA7" w:rsidP="002A3ED9">
                            <w:pPr>
                              <w:pStyle w:val="Zpa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4C9AD" wp14:editId="4099A420">
                                  <wp:extent cx="1843405" cy="386715"/>
                                  <wp:effectExtent l="0" t="0" r="4445" b="0"/>
                                  <wp:docPr id="23" name="Obraz 23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Obraz zawierający tekst&#10;&#10;Opis wygenerowany automatyczni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05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00" w:type="dxa"/>
                            <w:shd w:val="clear" w:color="auto" w:fill="auto"/>
                            <w:vAlign w:val="center"/>
                          </w:tcPr>
                          <w:p w:rsidR="00797EA7" w:rsidRDefault="00797EA7">
                            <w:pPr>
                              <w:pStyle w:val="Zpat"/>
                              <w:jc w:val="both"/>
                            </w:pPr>
                            <w:r w:rsidRPr="00FD45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Podpora Evropské komise pro vydání této publikace nepředstavuje schválení jejího obsahu, který odráží pouze názory autorů, a Komise nenese odpovědnost za jakékoli použití informací v ní obsažených.</w:t>
                            </w:r>
                          </w:p>
                        </w:tc>
                      </w:tr>
                    </w:tbl>
                    <w:p w:rsidR="00797EA7" w:rsidRPr="002A3ED9" w:rsidRDefault="00797EA7" w:rsidP="00581FEE"/>
                  </w:txbxContent>
                </v:textbox>
                <w10:wrap anchorx="margin"/>
              </v:shape>
            </w:pict>
          </mc:Fallback>
        </mc:AlternateContent>
      </w:r>
      <w:r w:rsidRPr="00797EA7">
        <w:rPr>
          <w:lang w:val="cs-CZ"/>
        </w:rPr>
        <w:t>Číslo projektu: 2021-1-PL01-KA220-HED-000032077</w:t>
      </w:r>
    </w:p>
    <w:p w:rsidR="00D822DD" w:rsidRPr="00797EA7" w:rsidRDefault="00D822DD" w:rsidP="006764AC">
      <w:pPr>
        <w:spacing w:after="120"/>
        <w:jc w:val="center"/>
        <w:textAlignment w:val="baseline"/>
        <w:rPr>
          <w:lang w:val="cs-CZ"/>
        </w:rPr>
      </w:pPr>
    </w:p>
    <w:p w:rsidR="00D822DD" w:rsidRPr="00797EA7" w:rsidRDefault="00D822DD" w:rsidP="006764AC">
      <w:pPr>
        <w:spacing w:after="120"/>
        <w:jc w:val="center"/>
        <w:textAlignment w:val="baseline"/>
        <w:rPr>
          <w:lang w:val="cs-CZ"/>
        </w:rPr>
      </w:pPr>
    </w:p>
    <w:p w:rsidR="00D822DD" w:rsidRPr="00797EA7" w:rsidRDefault="00D822DD" w:rsidP="006764AC">
      <w:pPr>
        <w:spacing w:after="120"/>
        <w:jc w:val="center"/>
        <w:textAlignment w:val="baseline"/>
        <w:rPr>
          <w:lang w:val="cs-CZ"/>
        </w:rPr>
      </w:pPr>
    </w:p>
    <w:p w:rsidR="00B04D89" w:rsidRPr="00797EA7" w:rsidRDefault="00A46B5A">
      <w:pPr>
        <w:spacing w:after="120"/>
        <w:jc w:val="center"/>
        <w:textAlignment w:val="baseline"/>
        <w:rPr>
          <w:rFonts w:eastAsia="Times New Roman" w:cstheme="minorHAnsi"/>
          <w:sz w:val="18"/>
          <w:szCs w:val="18"/>
          <w:lang w:val="cs-CZ" w:eastAsia="pl-PL"/>
        </w:rPr>
      </w:pPr>
      <w:r w:rsidRPr="00797EA7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cs-CZ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F8626E" wp14:editId="3A3F7C3B">
                <wp:simplePos x="0" y="0"/>
                <wp:positionH relativeFrom="page">
                  <wp:align>left</wp:align>
                </wp:positionH>
                <wp:positionV relativeFrom="paragraph">
                  <wp:posOffset>2818765</wp:posOffset>
                </wp:positionV>
                <wp:extent cx="7560945" cy="5018567"/>
                <wp:effectExtent l="0" t="0" r="1905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0185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41DD" id="Rectangle 14" o:spid="_x0000_s1026" style="position:absolute;margin-left:0;margin-top:221.95pt;width:595.35pt;height:395.1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" stroked="f">
                <v:fill color2="#538135 [2409]" rotate="t" focus="100%" type="gradient"/>
                <w10:wrap anchorx="page"/>
              </v:rect>
            </w:pict>
          </mc:Fallback>
        </mc:AlternateContent>
      </w:r>
      <w:r w:rsidR="00D822DD" w:rsidRPr="00797EA7">
        <w:rPr>
          <w:rFonts w:eastAsia="Times New Roman" w:cstheme="minorHAnsi"/>
          <w:noProof/>
          <w:lang w:val="cs-CZ" w:eastAsia="pl-PL"/>
        </w:rPr>
        <w:drawing>
          <wp:inline distT="0" distB="0" distL="0" distR="0" wp14:anchorId="432B6C71" wp14:editId="64BBCADD">
            <wp:extent cx="1401031" cy="720000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D89" w:rsidRPr="00797EA7" w:rsidSect="00396AFB">
      <w:pgSz w:w="11900" w:h="16840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8D" w:rsidRDefault="00131D8D" w:rsidP="00474DE6">
      <w:r>
        <w:separator/>
      </w:r>
    </w:p>
  </w:endnote>
  <w:endnote w:type="continuationSeparator" w:id="0">
    <w:p w:rsidR="00131D8D" w:rsidRDefault="00131D8D" w:rsidP="0047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348735"/>
      <w:docPartObj>
        <w:docPartGallery w:val="Page Numbers (Bottom of Page)"/>
        <w:docPartUnique/>
      </w:docPartObj>
    </w:sdtPr>
    <w:sdtContent>
      <w:p w:rsidR="00797EA7" w:rsidRDefault="00797EA7">
        <w:pPr>
          <w:pStyle w:val="Zpat"/>
          <w:jc w:val="center"/>
        </w:pPr>
        <w:r w:rsidRPr="00E93843">
          <w:fldChar w:fldCharType="begin"/>
        </w:r>
        <w:r w:rsidRPr="00E93843">
          <w:instrText>PAGE   \* MERGEFORMAT</w:instrText>
        </w:r>
        <w:r w:rsidRPr="00E93843">
          <w:fldChar w:fldCharType="separate"/>
        </w:r>
        <w:r w:rsidRPr="00E93843">
          <w:rPr>
            <w:lang w:val="pl-PL"/>
          </w:rPr>
          <w:t>2</w:t>
        </w:r>
        <w:r w:rsidRPr="00E93843">
          <w:fldChar w:fldCharType="end"/>
        </w:r>
      </w:p>
    </w:sdtContent>
  </w:sdt>
  <w:p w:rsidR="00797EA7" w:rsidRPr="00474DE6" w:rsidRDefault="00797EA7" w:rsidP="00474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8D" w:rsidRDefault="00131D8D" w:rsidP="00474DE6">
      <w:r>
        <w:separator/>
      </w:r>
    </w:p>
  </w:footnote>
  <w:footnote w:type="continuationSeparator" w:id="0">
    <w:p w:rsidR="00131D8D" w:rsidRDefault="00131D8D" w:rsidP="00474DE6">
      <w:r>
        <w:continuationSeparator/>
      </w:r>
    </w:p>
  </w:footnote>
  <w:footnote w:id="1">
    <w:p w:rsidR="00797EA7" w:rsidRDefault="00797EA7">
      <w:pPr>
        <w:pStyle w:val="Textpoznpodarou"/>
        <w:rPr>
          <w:rFonts w:cstheme="minorHAnsi"/>
          <w:lang w:val="en-US"/>
        </w:rPr>
      </w:pPr>
      <w:r w:rsidRPr="006F487C">
        <w:rPr>
          <w:rStyle w:val="Znakapoznpodarou"/>
          <w:rFonts w:cstheme="minorHAnsi"/>
          <w:color w:val="000000" w:themeColor="text1"/>
        </w:rPr>
        <w:footnoteRef/>
      </w:r>
      <w:r w:rsidRPr="006F487C">
        <w:rPr>
          <w:rFonts w:cstheme="minorHAnsi"/>
          <w:color w:val="000000" w:themeColor="text1"/>
          <w:lang w:val="en-US"/>
        </w:rPr>
        <w:t xml:space="preserve"> V roce 1991 přijal první model sociálního podniku v Itálii specifickou právní formu pro sociální družstva; Velká Británie v roce 2004 zavedla </w:t>
      </w:r>
      <w:r w:rsidRPr="006F487C">
        <w:rPr>
          <w:rFonts w:cstheme="minorHAnsi"/>
          <w:lang w:val="en-US"/>
        </w:rPr>
        <w:t xml:space="preserve">druhou právní formu sociálního podniku v Evropě - Community Interest Company; Začal se objevovat výzkum sociálního podnikání: </w:t>
      </w:r>
      <w:r>
        <w:rPr>
          <w:rFonts w:cstheme="minorHAnsi"/>
          <w:lang w:val="en-US"/>
        </w:rPr>
        <w:t>(</w:t>
      </w:r>
      <w:r w:rsidRPr="006B3E57">
        <w:rPr>
          <w:rFonts w:eastAsia="Times New Roman" w:cstheme="minorHAnsi"/>
          <w:color w:val="000000" w:themeColor="text1"/>
          <w:lang w:val="en-US"/>
        </w:rPr>
        <w:t>Boschee, 1995</w:t>
      </w:r>
      <w:r>
        <w:rPr>
          <w:rFonts w:eastAsia="Times New Roman" w:cstheme="minorHAnsi"/>
          <w:color w:val="000000" w:themeColor="text1"/>
          <w:lang w:val="en-US"/>
        </w:rPr>
        <w:t xml:space="preserve">; </w:t>
      </w:r>
      <w:r w:rsidRPr="006F487C">
        <w:rPr>
          <w:rFonts w:cstheme="minorHAnsi"/>
          <w:lang w:val="en-US"/>
        </w:rPr>
        <w:t xml:space="preserve">Dees, </w:t>
      </w:r>
      <w:r w:rsidRPr="006B3E57">
        <w:rPr>
          <w:rFonts w:eastAsia="Times New Roman" w:cstheme="minorHAnsi"/>
          <w:color w:val="000000" w:themeColor="text1"/>
          <w:lang w:val="en-US"/>
        </w:rPr>
        <w:t>1998</w:t>
      </w:r>
      <w:r>
        <w:rPr>
          <w:rFonts w:eastAsia="Times New Roman" w:cstheme="minorHAnsi"/>
          <w:color w:val="000000" w:themeColor="text1"/>
          <w:lang w:val="en-US"/>
        </w:rPr>
        <w:t xml:space="preserve">; </w:t>
      </w:r>
      <w:r w:rsidRPr="006F487C">
        <w:rPr>
          <w:rFonts w:cstheme="minorHAnsi"/>
          <w:lang w:val="en-US"/>
        </w:rPr>
        <w:t xml:space="preserve">Leadbeater, </w:t>
      </w:r>
      <w:r w:rsidRPr="006B3E57">
        <w:rPr>
          <w:rFonts w:eastAsia="Times New Roman" w:cstheme="minorHAnsi"/>
          <w:color w:val="000000" w:themeColor="text1"/>
          <w:lang w:val="en-US"/>
        </w:rPr>
        <w:t>1997).</w:t>
      </w:r>
    </w:p>
  </w:footnote>
  <w:footnote w:id="2">
    <w:p w:rsidR="00797EA7" w:rsidRDefault="00797EA7">
      <w:pPr>
        <w:pStyle w:val="Textpoznpodarou"/>
        <w:rPr>
          <w:rFonts w:cstheme="minorHAnsi"/>
          <w:lang w:val="en-US"/>
        </w:rPr>
      </w:pPr>
      <w:r w:rsidRPr="006F487C">
        <w:rPr>
          <w:rStyle w:val="Znakapoznpodarou"/>
          <w:rFonts w:cstheme="minorHAnsi"/>
        </w:rPr>
        <w:footnoteRef/>
      </w:r>
      <w:r w:rsidRPr="006F487C">
        <w:rPr>
          <w:rFonts w:cstheme="minorHAnsi"/>
          <w:lang w:val="en-US"/>
        </w:rPr>
        <w:t xml:space="preserve"> Finanční umístění podniků (zaměřené na tvorbu zisku, tj. standardní "bottom line") doplněné o měření sociálního </w:t>
      </w:r>
      <w:proofErr w:type="gramStart"/>
      <w:r w:rsidRPr="006F487C">
        <w:rPr>
          <w:rFonts w:cstheme="minorHAnsi"/>
          <w:lang w:val="en-US"/>
        </w:rPr>
        <w:t>a</w:t>
      </w:r>
      <w:proofErr w:type="gramEnd"/>
      <w:r w:rsidRPr="006F487C">
        <w:rPr>
          <w:rFonts w:cstheme="minorHAnsi"/>
          <w:lang w:val="en-US"/>
        </w:rPr>
        <w:t xml:space="preserve"> environmentálního dopadu.</w:t>
      </w:r>
    </w:p>
  </w:footnote>
  <w:footnote w:id="3">
    <w:p w:rsidR="00797EA7" w:rsidRDefault="00797EA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6F487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6F487C">
        <w:rPr>
          <w:rFonts w:asciiTheme="minorHAnsi" w:hAnsiTheme="minorHAnsi" w:cstheme="minorHAnsi"/>
          <w:sz w:val="20"/>
          <w:szCs w:val="20"/>
          <w:lang w:val="en-US"/>
        </w:rPr>
        <w:t xml:space="preserve"> Tato analýza úlohy sociální ekonomiky vychází z typologie vývojových účinků sdružení Marka Warrena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</w:footnote>
  <w:footnote w:id="4">
    <w:p w:rsidR="00797EA7" w:rsidRDefault="00797EA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999999"/>
          <w:sz w:val="20"/>
          <w:szCs w:val="20"/>
          <w:lang w:val="en-US"/>
        </w:rPr>
      </w:pPr>
      <w:r w:rsidRPr="006F487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D95F7C">
        <w:rPr>
          <w:rFonts w:asciiTheme="minorHAnsi" w:hAnsiTheme="minorHAnsi" w:cstheme="minorHAnsi"/>
          <w:sz w:val="20"/>
          <w:szCs w:val="20"/>
          <w:lang w:val="en-US"/>
        </w:rPr>
        <w:t xml:space="preserve">  "</w:t>
      </w:r>
      <w:r w:rsidRPr="005346C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Téměř ve všech dotazovaných zemích G20 mají větší investice do ekologických podniků a pracovních míst většinovou podporu, v čele s Velkou Británií (73 %), následovanou Německem, Austrálií a Kanadou (všechny 68 %), Jihoafrickou republikou (65 %), Itálií (64 %), Japonskem (59 %), Spojenými státy (57 %), Francií (56 %) </w:t>
      </w:r>
      <w:proofErr w:type="gramStart"/>
      <w:r w:rsidRPr="005346C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</w:t>
      </w:r>
      <w:proofErr w:type="gramEnd"/>
      <w:r w:rsidRPr="005346CD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Argentinou, Brazílií a Indonésií (všechny 51 %)"; "Nejvýznamnějším sociodemografickým faktorem ovlivňujícím víru v klimatickou nouzi a opatření v oblasti klimatu je vzdělání. Mezi lidmi s postsekundárním vzděláním byla ve všech zemích trvale velmi vysoká míra poptávky po opatřeních v oblasti klimatu, a to od nejméně rozvinutých zemí, jako je Bhútán a Demokratická republika Kongo (obě 82 %), až po bohaté země, jako je Francie (87 %) a Japonsko (82 %)."; "Mladí lidé (do 18 let) častěji než ostatní věkové skupiny věří, že změna klimatu je globální nouzovou situací, ale podstatná většina starších lidí s nimi stále souhlasí. Téměř 70 % osob mladších 18 let uvedlo, že změna klimatu je globální nouzovou situací, ve srovnání s 65 % osob ve věku 18-35 let, 66 % osob ve věku 36-59 let a 58 % osob starších 60 let"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</w:footnote>
  <w:footnote w:id="5">
    <w:p w:rsidR="00797EA7" w:rsidRDefault="00797EA7">
      <w:pPr>
        <w:pStyle w:val="Textpoznpodarou"/>
      </w:pPr>
      <w:r>
        <w:rPr>
          <w:rStyle w:val="Znakapoznpodarou"/>
        </w:rPr>
        <w:footnoteRef/>
      </w:r>
      <w:r w:rsidRPr="0054360B">
        <w:t xml:space="preserve"> 1) inženýrské a technické dovednosti, 2) vědecká gramotnost chápaná jako široce založená a nezbytná pro inovace, 3) dovednosti v oblasti provozního řízení, 4) dovednosti v oblasti monitorování definované jako dovednosti potřebné k posouzení souladu s technickými kritérii a právními normami týkajícími se ochrany životního prostředí, 5) designové myšlení chápané jako realizace projektů založená na schopnosti vidět zdroj problémů a skutečné potřeby zákazníků/klientů, 6) kreativita, 7) schopnost přizpůsobit se budoucím výzvám a 8) povědomí o odolnosti vůči postupujícím změnám klimatu a dopadu výrobních/služebních procesů na ně.</w:t>
      </w:r>
    </w:p>
  </w:footnote>
  <w:footnote w:id="6">
    <w:p w:rsidR="00797EA7" w:rsidRDefault="00797EA7">
      <w:pPr>
        <w:pStyle w:val="Textpoznpodarou"/>
        <w:rPr>
          <w:rFonts w:cstheme="minorHAnsi"/>
        </w:rPr>
      </w:pPr>
      <w:r w:rsidRPr="006F487C">
        <w:rPr>
          <w:rStyle w:val="Znakapoznpodarou"/>
          <w:rFonts w:cstheme="minorHAnsi"/>
        </w:rPr>
        <w:footnoteRef/>
      </w:r>
      <w:r w:rsidRPr="006F487C">
        <w:rPr>
          <w:rFonts w:cstheme="minorHAnsi"/>
        </w:rPr>
        <w:t xml:space="preserve"> Testovaná hypotéza: H</w:t>
      </w:r>
      <w:r w:rsidRPr="006F487C">
        <w:rPr>
          <w:rFonts w:cstheme="minorHAnsi"/>
          <w:vertAlign w:val="subscript"/>
        </w:rPr>
        <w:t>0</w:t>
      </w:r>
      <w:r w:rsidRPr="006F487C">
        <w:rPr>
          <w:rFonts w:cstheme="minorHAnsi"/>
        </w:rPr>
        <w:t xml:space="preserve"> - mezi znaky není rozdíl, H</w:t>
      </w:r>
      <w:r w:rsidRPr="006F487C">
        <w:rPr>
          <w:rFonts w:cstheme="minorHAnsi"/>
          <w:vertAlign w:val="subscript"/>
        </w:rPr>
        <w:t>1</w:t>
      </w:r>
      <w:r w:rsidRPr="006F487C">
        <w:rPr>
          <w:rFonts w:cstheme="minorHAnsi"/>
        </w:rPr>
        <w:t xml:space="preserve"> - mezi znaky existuje rozdíl.</w:t>
      </w:r>
    </w:p>
  </w:footnote>
  <w:footnote w:id="7">
    <w:p w:rsidR="00797EA7" w:rsidRDefault="00797EA7">
      <w:pPr>
        <w:pStyle w:val="Textpoznpodarou"/>
        <w:rPr>
          <w:rFonts w:cstheme="minorHAnsi"/>
        </w:rPr>
      </w:pPr>
      <w:r w:rsidRPr="006F487C">
        <w:rPr>
          <w:rStyle w:val="Znakapoznpodarou"/>
          <w:rFonts w:cstheme="minorHAnsi"/>
        </w:rPr>
        <w:footnoteRef/>
      </w:r>
      <w:r w:rsidRPr="006F487C">
        <w:rPr>
          <w:rFonts w:cstheme="minorHAnsi"/>
        </w:rPr>
        <w:t xml:space="preserve"> Testovaná hypotéza: H</w:t>
      </w:r>
      <w:r w:rsidRPr="006F487C">
        <w:rPr>
          <w:rFonts w:cstheme="minorHAnsi"/>
          <w:vertAlign w:val="subscript"/>
        </w:rPr>
        <w:t>0</w:t>
      </w:r>
      <w:r w:rsidRPr="006F487C">
        <w:rPr>
          <w:rFonts w:cstheme="minorHAnsi"/>
        </w:rPr>
        <w:t xml:space="preserve"> - mezi znaky není rozdíl, H</w:t>
      </w:r>
      <w:r w:rsidRPr="006F487C">
        <w:rPr>
          <w:rFonts w:cstheme="minorHAnsi"/>
          <w:vertAlign w:val="subscript"/>
        </w:rPr>
        <w:t>1</w:t>
      </w:r>
      <w:r w:rsidRPr="006F487C">
        <w:rPr>
          <w:rFonts w:cstheme="minorHAnsi"/>
        </w:rPr>
        <w:t xml:space="preserve"> - mezi znaky existuje rozdíl.</w:t>
      </w:r>
    </w:p>
  </w:footnote>
  <w:footnote w:id="8">
    <w:p w:rsidR="00797EA7" w:rsidRDefault="00797EA7">
      <w:pPr>
        <w:pStyle w:val="Textpoznpodarou"/>
        <w:rPr>
          <w:rFonts w:cstheme="minorHAnsi"/>
        </w:rPr>
      </w:pPr>
      <w:r w:rsidRPr="006F487C">
        <w:rPr>
          <w:rStyle w:val="Znakapoznpodarou"/>
          <w:rFonts w:cstheme="minorHAnsi"/>
        </w:rPr>
        <w:footnoteRef/>
      </w:r>
      <w:r w:rsidRPr="006F487C">
        <w:rPr>
          <w:rFonts w:cstheme="minorHAnsi"/>
        </w:rPr>
        <w:t xml:space="preserve"> Testovaná hypotéza: H</w:t>
      </w:r>
      <w:r w:rsidRPr="006F487C">
        <w:rPr>
          <w:rFonts w:cstheme="minorHAnsi"/>
          <w:vertAlign w:val="subscript"/>
        </w:rPr>
        <w:t>0</w:t>
      </w:r>
      <w:r w:rsidRPr="006F487C">
        <w:rPr>
          <w:rFonts w:cstheme="minorHAnsi"/>
        </w:rPr>
        <w:t xml:space="preserve"> - mezi znaky není rozdíl, H</w:t>
      </w:r>
      <w:r w:rsidRPr="006F487C">
        <w:rPr>
          <w:rFonts w:cstheme="minorHAnsi"/>
          <w:vertAlign w:val="subscript"/>
        </w:rPr>
        <w:t>1</w:t>
      </w:r>
      <w:r w:rsidRPr="006F487C">
        <w:rPr>
          <w:rFonts w:cstheme="minorHAnsi"/>
        </w:rPr>
        <w:t xml:space="preserve"> - mezi znaky existuje rozdíl.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1"/>
      <w:gridCol w:w="7003"/>
    </w:tblGrid>
    <w:tr w:rsidR="00797EA7" w:rsidRPr="002A3ED9" w:rsidTr="00A46B5A">
      <w:tc>
        <w:tcPr>
          <w:tcW w:w="2093" w:type="dxa"/>
        </w:tcPr>
        <w:p w:rsidR="00797EA7" w:rsidRDefault="00797EA7" w:rsidP="00474DE6">
          <w:pPr>
            <w:pStyle w:val="Zhlav"/>
            <w:rPr>
              <w:rFonts w:ascii="Bookman Old Style" w:hAnsi="Bookman Old Style"/>
              <w:b/>
              <w:color w:val="A90F72"/>
              <w:sz w:val="24"/>
            </w:rPr>
          </w:pPr>
        </w:p>
      </w:tc>
      <w:tc>
        <w:tcPr>
          <w:tcW w:w="7119" w:type="dxa"/>
          <w:vAlign w:val="center"/>
        </w:tcPr>
        <w:p w:rsidR="00797EA7" w:rsidRPr="00FD45A5" w:rsidRDefault="00797EA7" w:rsidP="000A2967">
          <w:pPr>
            <w:pStyle w:val="Zhlav"/>
            <w:rPr>
              <w:rFonts w:ascii="Bookman Old Style" w:hAnsi="Bookman Old Style"/>
              <w:b/>
              <w:color w:val="A90F72"/>
              <w:sz w:val="24"/>
            </w:rPr>
          </w:pPr>
        </w:p>
      </w:tc>
    </w:tr>
  </w:tbl>
  <w:p w:rsidR="00797EA7" w:rsidRPr="00474DE6" w:rsidRDefault="00797E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0"/>
      <w:gridCol w:w="6864"/>
    </w:tblGrid>
    <w:tr w:rsidR="00797EA7" w:rsidRPr="002A3ED9" w:rsidTr="00A46B5A">
      <w:tc>
        <w:tcPr>
          <w:tcW w:w="2093" w:type="dxa"/>
        </w:tcPr>
        <w:p w:rsidR="00797EA7" w:rsidRDefault="00797EA7" w:rsidP="00F92C65">
          <w:pPr>
            <w:pStyle w:val="Zhlav"/>
            <w:rPr>
              <w:rFonts w:ascii="Bookman Old Style" w:hAnsi="Bookman Old Style"/>
              <w:b/>
              <w:color w:val="A90F72"/>
              <w:sz w:val="24"/>
            </w:rPr>
          </w:pPr>
          <w:r>
            <w:rPr>
              <w:rFonts w:ascii="Bookman Old Style" w:hAnsi="Bookman Old Style"/>
              <w:b/>
              <w:noProof/>
              <w:color w:val="A90F72"/>
            </w:rPr>
            <w:drawing>
              <wp:inline distT="0" distB="0" distL="0" distR="0" wp14:anchorId="53EC0B91" wp14:editId="21849C22">
                <wp:extent cx="1259986" cy="648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98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vAlign w:val="center"/>
        </w:tcPr>
        <w:p w:rsidR="00797EA7" w:rsidRDefault="00797EA7">
          <w:pPr>
            <w:jc w:val="center"/>
            <w:rPr>
              <w:b/>
              <w:color w:val="7BC751"/>
              <w:sz w:val="18"/>
              <w:szCs w:val="14"/>
            </w:rPr>
          </w:pPr>
          <w:r w:rsidRPr="00FD45A5">
            <w:rPr>
              <w:b/>
              <w:color w:val="7BC751"/>
              <w:sz w:val="18"/>
              <w:szCs w:val="14"/>
            </w:rPr>
            <w:t xml:space="preserve">SDG LABS - </w:t>
          </w:r>
          <w:r w:rsidRPr="00FD45A5">
            <w:rPr>
              <w:b/>
              <w:i/>
              <w:iCs/>
              <w:color w:val="7BC751"/>
              <w:sz w:val="18"/>
              <w:szCs w:val="14"/>
            </w:rPr>
            <w:t>Využití potenciálu sociální ekonomiky k zelené transformaci prostřednictvím zřízení sociálně orientovaných zelených laboratoří na univerzitách.</w:t>
          </w:r>
        </w:p>
        <w:p w:rsidR="00797EA7" w:rsidRDefault="00797EA7">
          <w:pPr>
            <w:pStyle w:val="Zhlav"/>
            <w:jc w:val="center"/>
            <w:rPr>
              <w:rFonts w:ascii="Bookman Old Style" w:hAnsi="Bookman Old Style"/>
              <w:b/>
              <w:color w:val="A90F72"/>
              <w:sz w:val="24"/>
            </w:rPr>
          </w:pPr>
          <w:r w:rsidRPr="00FD45A5">
            <w:rPr>
              <w:rFonts w:ascii="Arial" w:hAnsi="Arial" w:cs="Arial"/>
              <w:bCs/>
              <w:iCs/>
              <w:color w:val="1A1A1A"/>
              <w:sz w:val="20"/>
              <w:szCs w:val="20"/>
            </w:rPr>
            <w:t xml:space="preserve">Číslo projektu: </w:t>
          </w:r>
          <w:r w:rsidRPr="00FD45A5">
            <w:t>2021-1-PL01-KA220-HED-000032077</w:t>
          </w:r>
        </w:p>
      </w:tc>
    </w:tr>
  </w:tbl>
  <w:p w:rsidR="00797EA7" w:rsidRPr="00F92C65" w:rsidRDefault="00797E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F91"/>
    <w:multiLevelType w:val="hybridMultilevel"/>
    <w:tmpl w:val="A81257F4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DBD"/>
    <w:multiLevelType w:val="hybridMultilevel"/>
    <w:tmpl w:val="974269A8"/>
    <w:lvl w:ilvl="0" w:tplc="C18ED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A98EEB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8EF"/>
    <w:multiLevelType w:val="hybridMultilevel"/>
    <w:tmpl w:val="D7520A86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7EA"/>
    <w:multiLevelType w:val="hybridMultilevel"/>
    <w:tmpl w:val="8CE0FB9A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31A"/>
    <w:multiLevelType w:val="hybridMultilevel"/>
    <w:tmpl w:val="5F26BA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E7A"/>
    <w:multiLevelType w:val="hybridMultilevel"/>
    <w:tmpl w:val="D33647CC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C48"/>
    <w:multiLevelType w:val="hybridMultilevel"/>
    <w:tmpl w:val="57EEBEE2"/>
    <w:lvl w:ilvl="0" w:tplc="87AEC7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6C0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E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0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43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8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AF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62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57D0"/>
    <w:multiLevelType w:val="hybridMultilevel"/>
    <w:tmpl w:val="4C54C770"/>
    <w:lvl w:ilvl="0" w:tplc="D08C37F6">
      <w:start w:val="6"/>
      <w:numFmt w:val="decimal"/>
      <w:lvlText w:val="%1)"/>
      <w:lvlJc w:val="left"/>
      <w:pPr>
        <w:ind w:left="144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2752"/>
    <w:multiLevelType w:val="hybridMultilevel"/>
    <w:tmpl w:val="6150C624"/>
    <w:lvl w:ilvl="0" w:tplc="E4623EA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2418C"/>
    <w:multiLevelType w:val="hybridMultilevel"/>
    <w:tmpl w:val="AE125C78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4E70"/>
    <w:multiLevelType w:val="hybridMultilevel"/>
    <w:tmpl w:val="6230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566D0E">
      <w:start w:val="1"/>
      <w:numFmt w:val="decimal"/>
      <w:lvlText w:val="%2)"/>
      <w:lvlJc w:val="left"/>
      <w:pPr>
        <w:ind w:left="1440" w:hanging="360"/>
      </w:pPr>
      <w:rPr>
        <w:b/>
        <w:bCs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22141"/>
    <w:multiLevelType w:val="hybridMultilevel"/>
    <w:tmpl w:val="E0DE4A80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1CD9"/>
    <w:multiLevelType w:val="hybridMultilevel"/>
    <w:tmpl w:val="F44E0B36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5082"/>
    <w:multiLevelType w:val="hybridMultilevel"/>
    <w:tmpl w:val="8FB22824"/>
    <w:lvl w:ilvl="0" w:tplc="D3D892EC">
      <w:start w:val="4"/>
      <w:numFmt w:val="decimal"/>
      <w:lvlText w:val="%1)"/>
      <w:lvlJc w:val="left"/>
      <w:pPr>
        <w:ind w:left="1440" w:hanging="360"/>
      </w:pPr>
      <w:rPr>
        <w:rFonts w:hint="default"/>
        <w:b/>
        <w:bCs/>
        <w:vertAlign w:val="baseline"/>
      </w:rPr>
    </w:lvl>
    <w:lvl w:ilvl="1" w:tplc="5F883FC2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C91"/>
    <w:multiLevelType w:val="hybridMultilevel"/>
    <w:tmpl w:val="416A0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8E7"/>
    <w:multiLevelType w:val="hybridMultilevel"/>
    <w:tmpl w:val="BDA2A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3948"/>
    <w:multiLevelType w:val="hybridMultilevel"/>
    <w:tmpl w:val="CAFCD3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075D"/>
    <w:multiLevelType w:val="hybridMultilevel"/>
    <w:tmpl w:val="42E0EEEE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7A03"/>
    <w:multiLevelType w:val="hybridMultilevel"/>
    <w:tmpl w:val="AA60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D4FFF"/>
    <w:multiLevelType w:val="hybridMultilevel"/>
    <w:tmpl w:val="761C9F72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761C5"/>
    <w:multiLevelType w:val="hybridMultilevel"/>
    <w:tmpl w:val="40EADDC4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92AF4"/>
    <w:multiLevelType w:val="hybridMultilevel"/>
    <w:tmpl w:val="4DA651FE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D8251E">
      <w:start w:val="10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A48E8"/>
    <w:multiLevelType w:val="hybridMultilevel"/>
    <w:tmpl w:val="6172C920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3624B"/>
    <w:multiLevelType w:val="hybridMultilevel"/>
    <w:tmpl w:val="5F26B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3080"/>
    <w:multiLevelType w:val="hybridMultilevel"/>
    <w:tmpl w:val="C1A68F82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576E"/>
    <w:multiLevelType w:val="hybridMultilevel"/>
    <w:tmpl w:val="C328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20485"/>
    <w:multiLevelType w:val="multilevel"/>
    <w:tmpl w:val="6AD29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F51042B"/>
    <w:multiLevelType w:val="hybridMultilevel"/>
    <w:tmpl w:val="166A48CC"/>
    <w:lvl w:ilvl="0" w:tplc="0CDCD0F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93428"/>
    <w:multiLevelType w:val="hybridMultilevel"/>
    <w:tmpl w:val="62C0EC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D4E86"/>
    <w:multiLevelType w:val="multilevel"/>
    <w:tmpl w:val="B32E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D343A3"/>
    <w:multiLevelType w:val="hybridMultilevel"/>
    <w:tmpl w:val="1C960690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764F"/>
    <w:multiLevelType w:val="hybridMultilevel"/>
    <w:tmpl w:val="11820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7FBF"/>
    <w:multiLevelType w:val="hybridMultilevel"/>
    <w:tmpl w:val="43404464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E1648"/>
    <w:multiLevelType w:val="hybridMultilevel"/>
    <w:tmpl w:val="AB2EA7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42935"/>
    <w:multiLevelType w:val="hybridMultilevel"/>
    <w:tmpl w:val="05586CC4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E17FB"/>
    <w:multiLevelType w:val="hybridMultilevel"/>
    <w:tmpl w:val="E6445610"/>
    <w:lvl w:ilvl="0" w:tplc="09D6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"/>
  </w:num>
  <w:num w:numId="9">
    <w:abstractNumId w:val="20"/>
  </w:num>
  <w:num w:numId="10">
    <w:abstractNumId w:val="32"/>
  </w:num>
  <w:num w:numId="11">
    <w:abstractNumId w:val="34"/>
  </w:num>
  <w:num w:numId="12">
    <w:abstractNumId w:val="11"/>
  </w:num>
  <w:num w:numId="13">
    <w:abstractNumId w:val="8"/>
  </w:num>
  <w:num w:numId="14">
    <w:abstractNumId w:val="19"/>
  </w:num>
  <w:num w:numId="15">
    <w:abstractNumId w:val="24"/>
  </w:num>
  <w:num w:numId="16">
    <w:abstractNumId w:val="26"/>
  </w:num>
  <w:num w:numId="17">
    <w:abstractNumId w:val="27"/>
  </w:num>
  <w:num w:numId="18">
    <w:abstractNumId w:val="1"/>
  </w:num>
  <w:num w:numId="19">
    <w:abstractNumId w:val="0"/>
  </w:num>
  <w:num w:numId="20">
    <w:abstractNumId w:val="10"/>
  </w:num>
  <w:num w:numId="21">
    <w:abstractNumId w:val="13"/>
  </w:num>
  <w:num w:numId="22">
    <w:abstractNumId w:val="7"/>
  </w:num>
  <w:num w:numId="23">
    <w:abstractNumId w:val="31"/>
  </w:num>
  <w:num w:numId="24">
    <w:abstractNumId w:val="21"/>
  </w:num>
  <w:num w:numId="25">
    <w:abstractNumId w:val="3"/>
  </w:num>
  <w:num w:numId="26">
    <w:abstractNumId w:val="16"/>
  </w:num>
  <w:num w:numId="27">
    <w:abstractNumId w:val="33"/>
  </w:num>
  <w:num w:numId="28">
    <w:abstractNumId w:val="28"/>
  </w:num>
  <w:num w:numId="29">
    <w:abstractNumId w:val="22"/>
  </w:num>
  <w:num w:numId="30">
    <w:abstractNumId w:val="15"/>
  </w:num>
  <w:num w:numId="31">
    <w:abstractNumId w:val="18"/>
  </w:num>
  <w:num w:numId="32">
    <w:abstractNumId w:val="35"/>
  </w:num>
  <w:num w:numId="33">
    <w:abstractNumId w:val="14"/>
  </w:num>
  <w:num w:numId="34">
    <w:abstractNumId w:val="30"/>
  </w:num>
  <w:num w:numId="35">
    <w:abstractNumId w:val="23"/>
  </w:num>
  <w:num w:numId="36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4E"/>
    <w:rsid w:val="0000023D"/>
    <w:rsid w:val="0000088C"/>
    <w:rsid w:val="00001EA1"/>
    <w:rsid w:val="00004EE4"/>
    <w:rsid w:val="00005945"/>
    <w:rsid w:val="00006227"/>
    <w:rsid w:val="00007685"/>
    <w:rsid w:val="00007E10"/>
    <w:rsid w:val="00011269"/>
    <w:rsid w:val="00012418"/>
    <w:rsid w:val="00012E33"/>
    <w:rsid w:val="000136C7"/>
    <w:rsid w:val="000152CC"/>
    <w:rsid w:val="00020459"/>
    <w:rsid w:val="00020A47"/>
    <w:rsid w:val="00021E4E"/>
    <w:rsid w:val="00030699"/>
    <w:rsid w:val="00031B6F"/>
    <w:rsid w:val="00032721"/>
    <w:rsid w:val="0003410E"/>
    <w:rsid w:val="00034CB5"/>
    <w:rsid w:val="00037BCD"/>
    <w:rsid w:val="0004368C"/>
    <w:rsid w:val="000439D1"/>
    <w:rsid w:val="00044E76"/>
    <w:rsid w:val="00047B6E"/>
    <w:rsid w:val="000533C1"/>
    <w:rsid w:val="00054EA1"/>
    <w:rsid w:val="00056151"/>
    <w:rsid w:val="000607E5"/>
    <w:rsid w:val="0006091F"/>
    <w:rsid w:val="000614AD"/>
    <w:rsid w:val="000632DC"/>
    <w:rsid w:val="000655D2"/>
    <w:rsid w:val="00070DCC"/>
    <w:rsid w:val="00076FBF"/>
    <w:rsid w:val="00080041"/>
    <w:rsid w:val="000821C3"/>
    <w:rsid w:val="000824BC"/>
    <w:rsid w:val="00086E79"/>
    <w:rsid w:val="000870E9"/>
    <w:rsid w:val="0009238A"/>
    <w:rsid w:val="00092891"/>
    <w:rsid w:val="000A0E40"/>
    <w:rsid w:val="000A204E"/>
    <w:rsid w:val="000A2967"/>
    <w:rsid w:val="000A2D30"/>
    <w:rsid w:val="000A498F"/>
    <w:rsid w:val="000A60BD"/>
    <w:rsid w:val="000A6377"/>
    <w:rsid w:val="000A65A8"/>
    <w:rsid w:val="000B2249"/>
    <w:rsid w:val="000B7733"/>
    <w:rsid w:val="000C0017"/>
    <w:rsid w:val="000C2C37"/>
    <w:rsid w:val="000C3902"/>
    <w:rsid w:val="000C3B83"/>
    <w:rsid w:val="000C44D2"/>
    <w:rsid w:val="000C6591"/>
    <w:rsid w:val="000C6EF8"/>
    <w:rsid w:val="000C7A2C"/>
    <w:rsid w:val="000C7E79"/>
    <w:rsid w:val="000D0106"/>
    <w:rsid w:val="000D29A2"/>
    <w:rsid w:val="000D61BB"/>
    <w:rsid w:val="000D681A"/>
    <w:rsid w:val="000E1502"/>
    <w:rsid w:val="000E1594"/>
    <w:rsid w:val="000E4AF8"/>
    <w:rsid w:val="000E4CA1"/>
    <w:rsid w:val="000F114E"/>
    <w:rsid w:val="000F363D"/>
    <w:rsid w:val="000F54AF"/>
    <w:rsid w:val="00100777"/>
    <w:rsid w:val="00100B44"/>
    <w:rsid w:val="00100C83"/>
    <w:rsid w:val="00101C41"/>
    <w:rsid w:val="00105756"/>
    <w:rsid w:val="00105A36"/>
    <w:rsid w:val="001075DB"/>
    <w:rsid w:val="0011154F"/>
    <w:rsid w:val="0011616D"/>
    <w:rsid w:val="001161DB"/>
    <w:rsid w:val="001249A6"/>
    <w:rsid w:val="00125A3D"/>
    <w:rsid w:val="00125EE4"/>
    <w:rsid w:val="00126EC3"/>
    <w:rsid w:val="001272C3"/>
    <w:rsid w:val="00127357"/>
    <w:rsid w:val="00131D8D"/>
    <w:rsid w:val="001321D4"/>
    <w:rsid w:val="00134327"/>
    <w:rsid w:val="00134B24"/>
    <w:rsid w:val="0013548C"/>
    <w:rsid w:val="001372DE"/>
    <w:rsid w:val="001379F3"/>
    <w:rsid w:val="0014102B"/>
    <w:rsid w:val="0014623C"/>
    <w:rsid w:val="001469CA"/>
    <w:rsid w:val="00147687"/>
    <w:rsid w:val="0014799D"/>
    <w:rsid w:val="0015014E"/>
    <w:rsid w:val="001504AD"/>
    <w:rsid w:val="00150FAF"/>
    <w:rsid w:val="0015133D"/>
    <w:rsid w:val="00151946"/>
    <w:rsid w:val="00152CA5"/>
    <w:rsid w:val="0015356A"/>
    <w:rsid w:val="001541F4"/>
    <w:rsid w:val="00154B44"/>
    <w:rsid w:val="00155220"/>
    <w:rsid w:val="00156A87"/>
    <w:rsid w:val="00160C8B"/>
    <w:rsid w:val="00162A77"/>
    <w:rsid w:val="00163DEF"/>
    <w:rsid w:val="0016492A"/>
    <w:rsid w:val="00166106"/>
    <w:rsid w:val="00170104"/>
    <w:rsid w:val="001723FB"/>
    <w:rsid w:val="00173278"/>
    <w:rsid w:val="00173C12"/>
    <w:rsid w:val="00175F11"/>
    <w:rsid w:val="001760D1"/>
    <w:rsid w:val="00176FFF"/>
    <w:rsid w:val="00177B64"/>
    <w:rsid w:val="0018302D"/>
    <w:rsid w:val="00185C1E"/>
    <w:rsid w:val="00187523"/>
    <w:rsid w:val="00193CEB"/>
    <w:rsid w:val="00195D8F"/>
    <w:rsid w:val="00196570"/>
    <w:rsid w:val="0019690F"/>
    <w:rsid w:val="001A060D"/>
    <w:rsid w:val="001A19D3"/>
    <w:rsid w:val="001A4DBE"/>
    <w:rsid w:val="001A5B55"/>
    <w:rsid w:val="001A615E"/>
    <w:rsid w:val="001B26C6"/>
    <w:rsid w:val="001B4013"/>
    <w:rsid w:val="001B6C2E"/>
    <w:rsid w:val="001B7C6E"/>
    <w:rsid w:val="001C025C"/>
    <w:rsid w:val="001C4E9C"/>
    <w:rsid w:val="001C59F5"/>
    <w:rsid w:val="001C6D68"/>
    <w:rsid w:val="001D0A5E"/>
    <w:rsid w:val="001D1024"/>
    <w:rsid w:val="001D598D"/>
    <w:rsid w:val="001F3F0F"/>
    <w:rsid w:val="001F40CE"/>
    <w:rsid w:val="001F55F6"/>
    <w:rsid w:val="00200A6A"/>
    <w:rsid w:val="002013CD"/>
    <w:rsid w:val="00201F3B"/>
    <w:rsid w:val="0020394F"/>
    <w:rsid w:val="00205D25"/>
    <w:rsid w:val="00206ED7"/>
    <w:rsid w:val="00210D6E"/>
    <w:rsid w:val="00211593"/>
    <w:rsid w:val="00211E82"/>
    <w:rsid w:val="00214B7C"/>
    <w:rsid w:val="00215CB7"/>
    <w:rsid w:val="002230B9"/>
    <w:rsid w:val="00223EB3"/>
    <w:rsid w:val="002259CA"/>
    <w:rsid w:val="00225EE1"/>
    <w:rsid w:val="002319C6"/>
    <w:rsid w:val="002369F7"/>
    <w:rsid w:val="00237CE5"/>
    <w:rsid w:val="00240FB1"/>
    <w:rsid w:val="00241694"/>
    <w:rsid w:val="00243861"/>
    <w:rsid w:val="00243FB2"/>
    <w:rsid w:val="00245831"/>
    <w:rsid w:val="00245A47"/>
    <w:rsid w:val="0024688B"/>
    <w:rsid w:val="00246C4E"/>
    <w:rsid w:val="00253445"/>
    <w:rsid w:val="00257872"/>
    <w:rsid w:val="00260F35"/>
    <w:rsid w:val="002621DF"/>
    <w:rsid w:val="00266839"/>
    <w:rsid w:val="00266FAA"/>
    <w:rsid w:val="002672B0"/>
    <w:rsid w:val="00270197"/>
    <w:rsid w:val="002705BC"/>
    <w:rsid w:val="00270CA8"/>
    <w:rsid w:val="002710A4"/>
    <w:rsid w:val="002725C2"/>
    <w:rsid w:val="00273004"/>
    <w:rsid w:val="002809DE"/>
    <w:rsid w:val="00286404"/>
    <w:rsid w:val="002A253A"/>
    <w:rsid w:val="002A3ED9"/>
    <w:rsid w:val="002A5044"/>
    <w:rsid w:val="002A689E"/>
    <w:rsid w:val="002A70C7"/>
    <w:rsid w:val="002B08CD"/>
    <w:rsid w:val="002B25AB"/>
    <w:rsid w:val="002B79D6"/>
    <w:rsid w:val="002C125E"/>
    <w:rsid w:val="002C1331"/>
    <w:rsid w:val="002C1C4A"/>
    <w:rsid w:val="002C3F9F"/>
    <w:rsid w:val="002C61F6"/>
    <w:rsid w:val="002C634C"/>
    <w:rsid w:val="002C74E0"/>
    <w:rsid w:val="002C79C1"/>
    <w:rsid w:val="002C7EAC"/>
    <w:rsid w:val="002D2149"/>
    <w:rsid w:val="002D45DF"/>
    <w:rsid w:val="002D4D00"/>
    <w:rsid w:val="002D6214"/>
    <w:rsid w:val="002E0637"/>
    <w:rsid w:val="002E09F8"/>
    <w:rsid w:val="002E1332"/>
    <w:rsid w:val="002E16CC"/>
    <w:rsid w:val="002E2814"/>
    <w:rsid w:val="002E4CC0"/>
    <w:rsid w:val="002E5096"/>
    <w:rsid w:val="002F0133"/>
    <w:rsid w:val="002F16DF"/>
    <w:rsid w:val="002F2E8C"/>
    <w:rsid w:val="002F3DF1"/>
    <w:rsid w:val="002F5B36"/>
    <w:rsid w:val="00300020"/>
    <w:rsid w:val="00301233"/>
    <w:rsid w:val="003026A6"/>
    <w:rsid w:val="00303FF1"/>
    <w:rsid w:val="00307FFE"/>
    <w:rsid w:val="003100A7"/>
    <w:rsid w:val="0031079D"/>
    <w:rsid w:val="0031666C"/>
    <w:rsid w:val="003229C7"/>
    <w:rsid w:val="00332313"/>
    <w:rsid w:val="00337129"/>
    <w:rsid w:val="003420FC"/>
    <w:rsid w:val="00342C62"/>
    <w:rsid w:val="00342F64"/>
    <w:rsid w:val="00345760"/>
    <w:rsid w:val="00346ABB"/>
    <w:rsid w:val="00347A9B"/>
    <w:rsid w:val="003501C5"/>
    <w:rsid w:val="00354CA8"/>
    <w:rsid w:val="003558B5"/>
    <w:rsid w:val="00360B08"/>
    <w:rsid w:val="00361AE2"/>
    <w:rsid w:val="00365E11"/>
    <w:rsid w:val="0036645E"/>
    <w:rsid w:val="00370B07"/>
    <w:rsid w:val="00375B7A"/>
    <w:rsid w:val="003802B6"/>
    <w:rsid w:val="0038136C"/>
    <w:rsid w:val="00382A27"/>
    <w:rsid w:val="00383CF0"/>
    <w:rsid w:val="00385928"/>
    <w:rsid w:val="00385F12"/>
    <w:rsid w:val="00387847"/>
    <w:rsid w:val="00390AE3"/>
    <w:rsid w:val="003923B4"/>
    <w:rsid w:val="00394E76"/>
    <w:rsid w:val="00396812"/>
    <w:rsid w:val="00396AFB"/>
    <w:rsid w:val="003A04FE"/>
    <w:rsid w:val="003A0A5D"/>
    <w:rsid w:val="003A144C"/>
    <w:rsid w:val="003A63DC"/>
    <w:rsid w:val="003A6DB3"/>
    <w:rsid w:val="003B0D35"/>
    <w:rsid w:val="003B42C6"/>
    <w:rsid w:val="003B4301"/>
    <w:rsid w:val="003B5610"/>
    <w:rsid w:val="003B59EB"/>
    <w:rsid w:val="003C306A"/>
    <w:rsid w:val="003C5608"/>
    <w:rsid w:val="003C6436"/>
    <w:rsid w:val="003D17EB"/>
    <w:rsid w:val="003D1838"/>
    <w:rsid w:val="003D32C5"/>
    <w:rsid w:val="003D3E7F"/>
    <w:rsid w:val="003D48C6"/>
    <w:rsid w:val="003D5404"/>
    <w:rsid w:val="003E0312"/>
    <w:rsid w:val="003E37AB"/>
    <w:rsid w:val="003E3D0F"/>
    <w:rsid w:val="003E4D57"/>
    <w:rsid w:val="003E67AF"/>
    <w:rsid w:val="003F13D1"/>
    <w:rsid w:val="003F3B22"/>
    <w:rsid w:val="003F425F"/>
    <w:rsid w:val="003F4FA4"/>
    <w:rsid w:val="003F6FCC"/>
    <w:rsid w:val="003F7C88"/>
    <w:rsid w:val="003F7EAE"/>
    <w:rsid w:val="0040044D"/>
    <w:rsid w:val="0040091A"/>
    <w:rsid w:val="004020D8"/>
    <w:rsid w:val="00402242"/>
    <w:rsid w:val="00404A9C"/>
    <w:rsid w:val="00406BE5"/>
    <w:rsid w:val="00407F80"/>
    <w:rsid w:val="00410F56"/>
    <w:rsid w:val="00416F8E"/>
    <w:rsid w:val="00417062"/>
    <w:rsid w:val="00420E35"/>
    <w:rsid w:val="004215E1"/>
    <w:rsid w:val="00422A0D"/>
    <w:rsid w:val="00424AA9"/>
    <w:rsid w:val="00424FD3"/>
    <w:rsid w:val="004260F4"/>
    <w:rsid w:val="00426443"/>
    <w:rsid w:val="00430949"/>
    <w:rsid w:val="00437A2D"/>
    <w:rsid w:val="00442896"/>
    <w:rsid w:val="00443393"/>
    <w:rsid w:val="004477C0"/>
    <w:rsid w:val="00451C06"/>
    <w:rsid w:val="00452853"/>
    <w:rsid w:val="00454310"/>
    <w:rsid w:val="00455FC0"/>
    <w:rsid w:val="004605EE"/>
    <w:rsid w:val="0046085E"/>
    <w:rsid w:val="00461046"/>
    <w:rsid w:val="0046240B"/>
    <w:rsid w:val="004624BA"/>
    <w:rsid w:val="00462B15"/>
    <w:rsid w:val="00466B7C"/>
    <w:rsid w:val="00466ECD"/>
    <w:rsid w:val="004703C6"/>
    <w:rsid w:val="00474DE6"/>
    <w:rsid w:val="0048083F"/>
    <w:rsid w:val="00480D94"/>
    <w:rsid w:val="00481900"/>
    <w:rsid w:val="00481A35"/>
    <w:rsid w:val="0048218A"/>
    <w:rsid w:val="00482B8C"/>
    <w:rsid w:val="00485299"/>
    <w:rsid w:val="00490CF1"/>
    <w:rsid w:val="004914B1"/>
    <w:rsid w:val="00491C85"/>
    <w:rsid w:val="00493CEA"/>
    <w:rsid w:val="004A134C"/>
    <w:rsid w:val="004A5AB4"/>
    <w:rsid w:val="004B378D"/>
    <w:rsid w:val="004B386F"/>
    <w:rsid w:val="004B3FDC"/>
    <w:rsid w:val="004B6ECE"/>
    <w:rsid w:val="004B75FA"/>
    <w:rsid w:val="004C0ED1"/>
    <w:rsid w:val="004C2D7E"/>
    <w:rsid w:val="004C2F92"/>
    <w:rsid w:val="004C302F"/>
    <w:rsid w:val="004C3110"/>
    <w:rsid w:val="004C4590"/>
    <w:rsid w:val="004C5150"/>
    <w:rsid w:val="004C7F04"/>
    <w:rsid w:val="004D0FDD"/>
    <w:rsid w:val="004D1216"/>
    <w:rsid w:val="004D256F"/>
    <w:rsid w:val="004D280B"/>
    <w:rsid w:val="004D56E9"/>
    <w:rsid w:val="004D5C45"/>
    <w:rsid w:val="004E050E"/>
    <w:rsid w:val="004E52F0"/>
    <w:rsid w:val="004E5AE5"/>
    <w:rsid w:val="004E65F8"/>
    <w:rsid w:val="004E71DD"/>
    <w:rsid w:val="004F108D"/>
    <w:rsid w:val="004F300B"/>
    <w:rsid w:val="004F451B"/>
    <w:rsid w:val="004F7F65"/>
    <w:rsid w:val="00501A89"/>
    <w:rsid w:val="005022F2"/>
    <w:rsid w:val="00502B2B"/>
    <w:rsid w:val="0050414F"/>
    <w:rsid w:val="00510066"/>
    <w:rsid w:val="00510E63"/>
    <w:rsid w:val="0051260F"/>
    <w:rsid w:val="005178AB"/>
    <w:rsid w:val="00520BED"/>
    <w:rsid w:val="00520CFC"/>
    <w:rsid w:val="0052176B"/>
    <w:rsid w:val="005237B7"/>
    <w:rsid w:val="005278FB"/>
    <w:rsid w:val="00533F7D"/>
    <w:rsid w:val="005346CD"/>
    <w:rsid w:val="00534F5A"/>
    <w:rsid w:val="00535862"/>
    <w:rsid w:val="0053611E"/>
    <w:rsid w:val="005369FA"/>
    <w:rsid w:val="0054059A"/>
    <w:rsid w:val="00541208"/>
    <w:rsid w:val="00541DBF"/>
    <w:rsid w:val="0054360B"/>
    <w:rsid w:val="00543AF9"/>
    <w:rsid w:val="005448CC"/>
    <w:rsid w:val="00547E8F"/>
    <w:rsid w:val="00550EEC"/>
    <w:rsid w:val="005527F0"/>
    <w:rsid w:val="00552D43"/>
    <w:rsid w:val="0055543A"/>
    <w:rsid w:val="00556631"/>
    <w:rsid w:val="005575AA"/>
    <w:rsid w:val="00561331"/>
    <w:rsid w:val="00563D9C"/>
    <w:rsid w:val="00563FF3"/>
    <w:rsid w:val="00564C76"/>
    <w:rsid w:val="00567F4F"/>
    <w:rsid w:val="0057241B"/>
    <w:rsid w:val="00572A6B"/>
    <w:rsid w:val="005736F0"/>
    <w:rsid w:val="0057604D"/>
    <w:rsid w:val="00576123"/>
    <w:rsid w:val="00581FEE"/>
    <w:rsid w:val="00583B6F"/>
    <w:rsid w:val="005853D3"/>
    <w:rsid w:val="005875D7"/>
    <w:rsid w:val="00587EB8"/>
    <w:rsid w:val="00593241"/>
    <w:rsid w:val="005969FC"/>
    <w:rsid w:val="00597A2C"/>
    <w:rsid w:val="005A075E"/>
    <w:rsid w:val="005A34D3"/>
    <w:rsid w:val="005A563B"/>
    <w:rsid w:val="005A5F2A"/>
    <w:rsid w:val="005B1D62"/>
    <w:rsid w:val="005B26A4"/>
    <w:rsid w:val="005B55DA"/>
    <w:rsid w:val="005B61BC"/>
    <w:rsid w:val="005B7DAA"/>
    <w:rsid w:val="005C1602"/>
    <w:rsid w:val="005C1687"/>
    <w:rsid w:val="005C2A4C"/>
    <w:rsid w:val="005C7162"/>
    <w:rsid w:val="005C7BF2"/>
    <w:rsid w:val="005D14CD"/>
    <w:rsid w:val="005D4F37"/>
    <w:rsid w:val="005D61D7"/>
    <w:rsid w:val="005D6697"/>
    <w:rsid w:val="005D7DEB"/>
    <w:rsid w:val="005E0169"/>
    <w:rsid w:val="005E0507"/>
    <w:rsid w:val="005E1FA0"/>
    <w:rsid w:val="005E24C9"/>
    <w:rsid w:val="005E3945"/>
    <w:rsid w:val="005E5093"/>
    <w:rsid w:val="005E76D4"/>
    <w:rsid w:val="005F18E2"/>
    <w:rsid w:val="005F2C6F"/>
    <w:rsid w:val="0060024C"/>
    <w:rsid w:val="00600C61"/>
    <w:rsid w:val="006011E5"/>
    <w:rsid w:val="00611B89"/>
    <w:rsid w:val="00616637"/>
    <w:rsid w:val="006213C3"/>
    <w:rsid w:val="0062217B"/>
    <w:rsid w:val="00624F0A"/>
    <w:rsid w:val="00630146"/>
    <w:rsid w:val="006301FD"/>
    <w:rsid w:val="006303F9"/>
    <w:rsid w:val="00631B37"/>
    <w:rsid w:val="00635192"/>
    <w:rsid w:val="00636154"/>
    <w:rsid w:val="006402AB"/>
    <w:rsid w:val="006403AF"/>
    <w:rsid w:val="00641636"/>
    <w:rsid w:val="00644B4E"/>
    <w:rsid w:val="00646A4F"/>
    <w:rsid w:val="00646C18"/>
    <w:rsid w:val="00650907"/>
    <w:rsid w:val="00651A62"/>
    <w:rsid w:val="00653763"/>
    <w:rsid w:val="0065709B"/>
    <w:rsid w:val="00660383"/>
    <w:rsid w:val="0066214A"/>
    <w:rsid w:val="006700CB"/>
    <w:rsid w:val="00670457"/>
    <w:rsid w:val="0067191D"/>
    <w:rsid w:val="00671C28"/>
    <w:rsid w:val="006727B4"/>
    <w:rsid w:val="006731E6"/>
    <w:rsid w:val="00673918"/>
    <w:rsid w:val="00675BBD"/>
    <w:rsid w:val="006764AC"/>
    <w:rsid w:val="00677D4E"/>
    <w:rsid w:val="006810BE"/>
    <w:rsid w:val="00682954"/>
    <w:rsid w:val="0068797F"/>
    <w:rsid w:val="006909D4"/>
    <w:rsid w:val="00693345"/>
    <w:rsid w:val="00693F24"/>
    <w:rsid w:val="0069486B"/>
    <w:rsid w:val="00694BC2"/>
    <w:rsid w:val="00696AE5"/>
    <w:rsid w:val="006A09A7"/>
    <w:rsid w:val="006A0FB0"/>
    <w:rsid w:val="006B00AE"/>
    <w:rsid w:val="006B10EF"/>
    <w:rsid w:val="006B3157"/>
    <w:rsid w:val="006B3E57"/>
    <w:rsid w:val="006C54FE"/>
    <w:rsid w:val="006C5F06"/>
    <w:rsid w:val="006C615E"/>
    <w:rsid w:val="006C61EF"/>
    <w:rsid w:val="006C6521"/>
    <w:rsid w:val="006D0495"/>
    <w:rsid w:val="006D0D4C"/>
    <w:rsid w:val="006D1BD0"/>
    <w:rsid w:val="006D3C80"/>
    <w:rsid w:val="006D51AA"/>
    <w:rsid w:val="006D5C67"/>
    <w:rsid w:val="006D5D45"/>
    <w:rsid w:val="006D5DF8"/>
    <w:rsid w:val="006E121B"/>
    <w:rsid w:val="006E4557"/>
    <w:rsid w:val="006E49E2"/>
    <w:rsid w:val="006E4CFE"/>
    <w:rsid w:val="006E50DE"/>
    <w:rsid w:val="006E733F"/>
    <w:rsid w:val="006E74D5"/>
    <w:rsid w:val="006F38C2"/>
    <w:rsid w:val="006F4280"/>
    <w:rsid w:val="006F487C"/>
    <w:rsid w:val="006F49FC"/>
    <w:rsid w:val="00701468"/>
    <w:rsid w:val="00701997"/>
    <w:rsid w:val="007019E9"/>
    <w:rsid w:val="007030A5"/>
    <w:rsid w:val="0070336C"/>
    <w:rsid w:val="00704FE3"/>
    <w:rsid w:val="00705813"/>
    <w:rsid w:val="00706B83"/>
    <w:rsid w:val="00707024"/>
    <w:rsid w:val="0071182D"/>
    <w:rsid w:val="007119CE"/>
    <w:rsid w:val="00712B34"/>
    <w:rsid w:val="00713249"/>
    <w:rsid w:val="0071787D"/>
    <w:rsid w:val="007245EC"/>
    <w:rsid w:val="00724E20"/>
    <w:rsid w:val="0073044C"/>
    <w:rsid w:val="00730506"/>
    <w:rsid w:val="0073638F"/>
    <w:rsid w:val="007377EC"/>
    <w:rsid w:val="007434A8"/>
    <w:rsid w:val="00743924"/>
    <w:rsid w:val="007473D5"/>
    <w:rsid w:val="007516F9"/>
    <w:rsid w:val="007539E7"/>
    <w:rsid w:val="0075467A"/>
    <w:rsid w:val="00756ACA"/>
    <w:rsid w:val="00757EC5"/>
    <w:rsid w:val="007601D0"/>
    <w:rsid w:val="0076097E"/>
    <w:rsid w:val="007612FB"/>
    <w:rsid w:val="00761CA9"/>
    <w:rsid w:val="00761ED5"/>
    <w:rsid w:val="00762A72"/>
    <w:rsid w:val="00763FE9"/>
    <w:rsid w:val="007674F0"/>
    <w:rsid w:val="007708DB"/>
    <w:rsid w:val="00772B0D"/>
    <w:rsid w:val="00773B8A"/>
    <w:rsid w:val="00775981"/>
    <w:rsid w:val="007835E3"/>
    <w:rsid w:val="00784004"/>
    <w:rsid w:val="007853DC"/>
    <w:rsid w:val="00790D21"/>
    <w:rsid w:val="0079173F"/>
    <w:rsid w:val="007919F3"/>
    <w:rsid w:val="00797EA7"/>
    <w:rsid w:val="007A0112"/>
    <w:rsid w:val="007A173F"/>
    <w:rsid w:val="007A3CD9"/>
    <w:rsid w:val="007A68A5"/>
    <w:rsid w:val="007A6BF8"/>
    <w:rsid w:val="007A6D75"/>
    <w:rsid w:val="007A7573"/>
    <w:rsid w:val="007B27DD"/>
    <w:rsid w:val="007B707E"/>
    <w:rsid w:val="007B71F3"/>
    <w:rsid w:val="007C5D5E"/>
    <w:rsid w:val="007C6893"/>
    <w:rsid w:val="007C7E8B"/>
    <w:rsid w:val="007D2771"/>
    <w:rsid w:val="007D38B4"/>
    <w:rsid w:val="007D435C"/>
    <w:rsid w:val="007D5DEC"/>
    <w:rsid w:val="007D5E12"/>
    <w:rsid w:val="007D5F48"/>
    <w:rsid w:val="007D6780"/>
    <w:rsid w:val="007D7B52"/>
    <w:rsid w:val="007E2D47"/>
    <w:rsid w:val="007E4A8E"/>
    <w:rsid w:val="007E5B30"/>
    <w:rsid w:val="007F04BF"/>
    <w:rsid w:val="007F1B5B"/>
    <w:rsid w:val="007F55A4"/>
    <w:rsid w:val="007F5C77"/>
    <w:rsid w:val="007F6B57"/>
    <w:rsid w:val="00800CD1"/>
    <w:rsid w:val="008049F8"/>
    <w:rsid w:val="00805401"/>
    <w:rsid w:val="008140C0"/>
    <w:rsid w:val="008149CD"/>
    <w:rsid w:val="00816FF3"/>
    <w:rsid w:val="0082507A"/>
    <w:rsid w:val="008254F9"/>
    <w:rsid w:val="00825F44"/>
    <w:rsid w:val="00827523"/>
    <w:rsid w:val="00831221"/>
    <w:rsid w:val="008316C9"/>
    <w:rsid w:val="00835ABD"/>
    <w:rsid w:val="00836FB4"/>
    <w:rsid w:val="008376A6"/>
    <w:rsid w:val="00837CA6"/>
    <w:rsid w:val="008405D5"/>
    <w:rsid w:val="00842195"/>
    <w:rsid w:val="00845F14"/>
    <w:rsid w:val="00850DCB"/>
    <w:rsid w:val="008510FC"/>
    <w:rsid w:val="0085381B"/>
    <w:rsid w:val="00854AA0"/>
    <w:rsid w:val="008568E1"/>
    <w:rsid w:val="00861579"/>
    <w:rsid w:val="0086192D"/>
    <w:rsid w:val="00861C97"/>
    <w:rsid w:val="00865CF9"/>
    <w:rsid w:val="008666A1"/>
    <w:rsid w:val="0087035F"/>
    <w:rsid w:val="008715AE"/>
    <w:rsid w:val="00871FA9"/>
    <w:rsid w:val="008743F9"/>
    <w:rsid w:val="00876498"/>
    <w:rsid w:val="0087689B"/>
    <w:rsid w:val="00876C9D"/>
    <w:rsid w:val="00877B5C"/>
    <w:rsid w:val="00882134"/>
    <w:rsid w:val="008854A6"/>
    <w:rsid w:val="008879E8"/>
    <w:rsid w:val="00891571"/>
    <w:rsid w:val="00893089"/>
    <w:rsid w:val="008938AF"/>
    <w:rsid w:val="00894300"/>
    <w:rsid w:val="00895637"/>
    <w:rsid w:val="0089638B"/>
    <w:rsid w:val="008A0A88"/>
    <w:rsid w:val="008A142E"/>
    <w:rsid w:val="008A16BF"/>
    <w:rsid w:val="008A2E69"/>
    <w:rsid w:val="008A3D25"/>
    <w:rsid w:val="008A673B"/>
    <w:rsid w:val="008A6B9D"/>
    <w:rsid w:val="008C00C2"/>
    <w:rsid w:val="008C0745"/>
    <w:rsid w:val="008C0ED1"/>
    <w:rsid w:val="008C465E"/>
    <w:rsid w:val="008C77EA"/>
    <w:rsid w:val="008D0D21"/>
    <w:rsid w:val="008D140B"/>
    <w:rsid w:val="008D15BD"/>
    <w:rsid w:val="008D2A4B"/>
    <w:rsid w:val="008D3076"/>
    <w:rsid w:val="008D5649"/>
    <w:rsid w:val="008D6194"/>
    <w:rsid w:val="008E2927"/>
    <w:rsid w:val="008E5303"/>
    <w:rsid w:val="008E746F"/>
    <w:rsid w:val="008E7EFF"/>
    <w:rsid w:val="008F2618"/>
    <w:rsid w:val="008F48AB"/>
    <w:rsid w:val="008F48BE"/>
    <w:rsid w:val="008F59D7"/>
    <w:rsid w:val="008F727C"/>
    <w:rsid w:val="008F7F52"/>
    <w:rsid w:val="00904C68"/>
    <w:rsid w:val="009074C5"/>
    <w:rsid w:val="00907B78"/>
    <w:rsid w:val="00907C12"/>
    <w:rsid w:val="00907F46"/>
    <w:rsid w:val="00912E4C"/>
    <w:rsid w:val="00913EF4"/>
    <w:rsid w:val="009161DA"/>
    <w:rsid w:val="0092311A"/>
    <w:rsid w:val="00923FD3"/>
    <w:rsid w:val="00925114"/>
    <w:rsid w:val="00927C74"/>
    <w:rsid w:val="009345ED"/>
    <w:rsid w:val="00935659"/>
    <w:rsid w:val="0093602D"/>
    <w:rsid w:val="0093638F"/>
    <w:rsid w:val="009367BD"/>
    <w:rsid w:val="00936AF3"/>
    <w:rsid w:val="00941DA1"/>
    <w:rsid w:val="0094632A"/>
    <w:rsid w:val="00952611"/>
    <w:rsid w:val="00953C43"/>
    <w:rsid w:val="00954C8A"/>
    <w:rsid w:val="009553B5"/>
    <w:rsid w:val="009600BC"/>
    <w:rsid w:val="009618EC"/>
    <w:rsid w:val="00962288"/>
    <w:rsid w:val="00962D20"/>
    <w:rsid w:val="009634CC"/>
    <w:rsid w:val="009634FE"/>
    <w:rsid w:val="009640F1"/>
    <w:rsid w:val="00964DD6"/>
    <w:rsid w:val="009678D7"/>
    <w:rsid w:val="009703B1"/>
    <w:rsid w:val="00973F2B"/>
    <w:rsid w:val="00976BD5"/>
    <w:rsid w:val="00977AB8"/>
    <w:rsid w:val="00977C34"/>
    <w:rsid w:val="00980D98"/>
    <w:rsid w:val="009818E6"/>
    <w:rsid w:val="00982D50"/>
    <w:rsid w:val="00982E71"/>
    <w:rsid w:val="009842DA"/>
    <w:rsid w:val="009846FC"/>
    <w:rsid w:val="00990A81"/>
    <w:rsid w:val="00993C83"/>
    <w:rsid w:val="00993FE4"/>
    <w:rsid w:val="009A1291"/>
    <w:rsid w:val="009A2A6C"/>
    <w:rsid w:val="009A3626"/>
    <w:rsid w:val="009A5DE1"/>
    <w:rsid w:val="009A6565"/>
    <w:rsid w:val="009A7EC5"/>
    <w:rsid w:val="009B278C"/>
    <w:rsid w:val="009B373A"/>
    <w:rsid w:val="009B4975"/>
    <w:rsid w:val="009B6A65"/>
    <w:rsid w:val="009B6D60"/>
    <w:rsid w:val="009C0FE2"/>
    <w:rsid w:val="009C1B00"/>
    <w:rsid w:val="009C2B67"/>
    <w:rsid w:val="009C56D3"/>
    <w:rsid w:val="009C63AD"/>
    <w:rsid w:val="009C65DB"/>
    <w:rsid w:val="009C7C38"/>
    <w:rsid w:val="009D0442"/>
    <w:rsid w:val="009D21AD"/>
    <w:rsid w:val="009D37EF"/>
    <w:rsid w:val="009D6904"/>
    <w:rsid w:val="009E258C"/>
    <w:rsid w:val="009E3065"/>
    <w:rsid w:val="009E3C75"/>
    <w:rsid w:val="009F02A1"/>
    <w:rsid w:val="009F0E4F"/>
    <w:rsid w:val="009F275A"/>
    <w:rsid w:val="009F3637"/>
    <w:rsid w:val="009F703F"/>
    <w:rsid w:val="00A00152"/>
    <w:rsid w:val="00A00D08"/>
    <w:rsid w:val="00A03047"/>
    <w:rsid w:val="00A04F34"/>
    <w:rsid w:val="00A0621D"/>
    <w:rsid w:val="00A0744D"/>
    <w:rsid w:val="00A11B6D"/>
    <w:rsid w:val="00A1297C"/>
    <w:rsid w:val="00A12EA3"/>
    <w:rsid w:val="00A13A66"/>
    <w:rsid w:val="00A1444C"/>
    <w:rsid w:val="00A2166A"/>
    <w:rsid w:val="00A21919"/>
    <w:rsid w:val="00A22D2F"/>
    <w:rsid w:val="00A23DF7"/>
    <w:rsid w:val="00A24504"/>
    <w:rsid w:val="00A25AE6"/>
    <w:rsid w:val="00A25E3F"/>
    <w:rsid w:val="00A301DF"/>
    <w:rsid w:val="00A30BB5"/>
    <w:rsid w:val="00A30D0F"/>
    <w:rsid w:val="00A3237C"/>
    <w:rsid w:val="00A359C1"/>
    <w:rsid w:val="00A36842"/>
    <w:rsid w:val="00A36F03"/>
    <w:rsid w:val="00A37258"/>
    <w:rsid w:val="00A37585"/>
    <w:rsid w:val="00A43A5A"/>
    <w:rsid w:val="00A43A5D"/>
    <w:rsid w:val="00A44655"/>
    <w:rsid w:val="00A451A7"/>
    <w:rsid w:val="00A467DB"/>
    <w:rsid w:val="00A46B5A"/>
    <w:rsid w:val="00A5139C"/>
    <w:rsid w:val="00A51D63"/>
    <w:rsid w:val="00A52079"/>
    <w:rsid w:val="00A540DB"/>
    <w:rsid w:val="00A56D6B"/>
    <w:rsid w:val="00A56D77"/>
    <w:rsid w:val="00A611CA"/>
    <w:rsid w:val="00A6120A"/>
    <w:rsid w:val="00A62506"/>
    <w:rsid w:val="00A62ABA"/>
    <w:rsid w:val="00A6367C"/>
    <w:rsid w:val="00A65D2F"/>
    <w:rsid w:val="00A65DA6"/>
    <w:rsid w:val="00A66635"/>
    <w:rsid w:val="00A713CE"/>
    <w:rsid w:val="00A7238D"/>
    <w:rsid w:val="00A7427B"/>
    <w:rsid w:val="00A77D48"/>
    <w:rsid w:val="00A8085E"/>
    <w:rsid w:val="00A81A56"/>
    <w:rsid w:val="00A835F7"/>
    <w:rsid w:val="00A84124"/>
    <w:rsid w:val="00A85F0C"/>
    <w:rsid w:val="00A91A28"/>
    <w:rsid w:val="00A92C8F"/>
    <w:rsid w:val="00A93332"/>
    <w:rsid w:val="00A971FB"/>
    <w:rsid w:val="00AA0437"/>
    <w:rsid w:val="00AA045B"/>
    <w:rsid w:val="00AA0527"/>
    <w:rsid w:val="00AA081D"/>
    <w:rsid w:val="00AA1390"/>
    <w:rsid w:val="00AA3F53"/>
    <w:rsid w:val="00AA4473"/>
    <w:rsid w:val="00AA7FCE"/>
    <w:rsid w:val="00AB1366"/>
    <w:rsid w:val="00AB4658"/>
    <w:rsid w:val="00AB5F32"/>
    <w:rsid w:val="00AB7A54"/>
    <w:rsid w:val="00AC11EF"/>
    <w:rsid w:val="00AC3704"/>
    <w:rsid w:val="00AC6ADB"/>
    <w:rsid w:val="00AD0229"/>
    <w:rsid w:val="00AD08D1"/>
    <w:rsid w:val="00AD1566"/>
    <w:rsid w:val="00AD4D94"/>
    <w:rsid w:val="00AD6B6E"/>
    <w:rsid w:val="00AD6B99"/>
    <w:rsid w:val="00AE06C2"/>
    <w:rsid w:val="00AE0C7D"/>
    <w:rsid w:val="00AE1A77"/>
    <w:rsid w:val="00AE2727"/>
    <w:rsid w:val="00AE450D"/>
    <w:rsid w:val="00AE7240"/>
    <w:rsid w:val="00AF1713"/>
    <w:rsid w:val="00AF3635"/>
    <w:rsid w:val="00AF3ED4"/>
    <w:rsid w:val="00AF41F3"/>
    <w:rsid w:val="00AF7621"/>
    <w:rsid w:val="00B04D89"/>
    <w:rsid w:val="00B05D89"/>
    <w:rsid w:val="00B05E3B"/>
    <w:rsid w:val="00B109ED"/>
    <w:rsid w:val="00B14430"/>
    <w:rsid w:val="00B14E03"/>
    <w:rsid w:val="00B15EBE"/>
    <w:rsid w:val="00B17A54"/>
    <w:rsid w:val="00B17BC6"/>
    <w:rsid w:val="00B2035D"/>
    <w:rsid w:val="00B20F51"/>
    <w:rsid w:val="00B2129B"/>
    <w:rsid w:val="00B23C06"/>
    <w:rsid w:val="00B2681E"/>
    <w:rsid w:val="00B30E6B"/>
    <w:rsid w:val="00B31101"/>
    <w:rsid w:val="00B349BA"/>
    <w:rsid w:val="00B36EEE"/>
    <w:rsid w:val="00B370A7"/>
    <w:rsid w:val="00B411D3"/>
    <w:rsid w:val="00B42F3C"/>
    <w:rsid w:val="00B451AF"/>
    <w:rsid w:val="00B50D1D"/>
    <w:rsid w:val="00B51DA2"/>
    <w:rsid w:val="00B522E7"/>
    <w:rsid w:val="00B54B77"/>
    <w:rsid w:val="00B6042A"/>
    <w:rsid w:val="00B628DB"/>
    <w:rsid w:val="00B63BA0"/>
    <w:rsid w:val="00B6534A"/>
    <w:rsid w:val="00B6610B"/>
    <w:rsid w:val="00B718C8"/>
    <w:rsid w:val="00B74579"/>
    <w:rsid w:val="00B74DAC"/>
    <w:rsid w:val="00B80B98"/>
    <w:rsid w:val="00B80C9F"/>
    <w:rsid w:val="00B81F03"/>
    <w:rsid w:val="00B853DE"/>
    <w:rsid w:val="00B86171"/>
    <w:rsid w:val="00B86ED1"/>
    <w:rsid w:val="00B945F1"/>
    <w:rsid w:val="00B95034"/>
    <w:rsid w:val="00B97BED"/>
    <w:rsid w:val="00BA2731"/>
    <w:rsid w:val="00BA5BBA"/>
    <w:rsid w:val="00BA6BBA"/>
    <w:rsid w:val="00BB312C"/>
    <w:rsid w:val="00BB3C3F"/>
    <w:rsid w:val="00BB4ACD"/>
    <w:rsid w:val="00BB4F94"/>
    <w:rsid w:val="00BB58A2"/>
    <w:rsid w:val="00BB6B9B"/>
    <w:rsid w:val="00BC01A9"/>
    <w:rsid w:val="00BC16CF"/>
    <w:rsid w:val="00BC257B"/>
    <w:rsid w:val="00BC2714"/>
    <w:rsid w:val="00BC3A9E"/>
    <w:rsid w:val="00BC6AF2"/>
    <w:rsid w:val="00BD260A"/>
    <w:rsid w:val="00BD2FDF"/>
    <w:rsid w:val="00BD31C9"/>
    <w:rsid w:val="00BD368F"/>
    <w:rsid w:val="00BD39A7"/>
    <w:rsid w:val="00BD5E74"/>
    <w:rsid w:val="00BD6F8E"/>
    <w:rsid w:val="00BE0245"/>
    <w:rsid w:val="00BE437C"/>
    <w:rsid w:val="00BF3734"/>
    <w:rsid w:val="00BF5686"/>
    <w:rsid w:val="00BF57C3"/>
    <w:rsid w:val="00C005A8"/>
    <w:rsid w:val="00C02523"/>
    <w:rsid w:val="00C10AFA"/>
    <w:rsid w:val="00C113C8"/>
    <w:rsid w:val="00C1172E"/>
    <w:rsid w:val="00C12891"/>
    <w:rsid w:val="00C13226"/>
    <w:rsid w:val="00C159D9"/>
    <w:rsid w:val="00C20DBA"/>
    <w:rsid w:val="00C23A4E"/>
    <w:rsid w:val="00C25399"/>
    <w:rsid w:val="00C25B93"/>
    <w:rsid w:val="00C27ED8"/>
    <w:rsid w:val="00C34FE7"/>
    <w:rsid w:val="00C40C45"/>
    <w:rsid w:val="00C41AD5"/>
    <w:rsid w:val="00C42313"/>
    <w:rsid w:val="00C42321"/>
    <w:rsid w:val="00C46F33"/>
    <w:rsid w:val="00C503B4"/>
    <w:rsid w:val="00C50F7E"/>
    <w:rsid w:val="00C53164"/>
    <w:rsid w:val="00C55B1D"/>
    <w:rsid w:val="00C60A42"/>
    <w:rsid w:val="00C6449B"/>
    <w:rsid w:val="00C64DD3"/>
    <w:rsid w:val="00C65FD0"/>
    <w:rsid w:val="00C67142"/>
    <w:rsid w:val="00C7103F"/>
    <w:rsid w:val="00C753BD"/>
    <w:rsid w:val="00C82614"/>
    <w:rsid w:val="00C83C24"/>
    <w:rsid w:val="00C93A60"/>
    <w:rsid w:val="00C95D54"/>
    <w:rsid w:val="00C964E4"/>
    <w:rsid w:val="00C97769"/>
    <w:rsid w:val="00C97F43"/>
    <w:rsid w:val="00CA00DA"/>
    <w:rsid w:val="00CA1DDB"/>
    <w:rsid w:val="00CA32EE"/>
    <w:rsid w:val="00CA6994"/>
    <w:rsid w:val="00CA71BC"/>
    <w:rsid w:val="00CA7297"/>
    <w:rsid w:val="00CA7675"/>
    <w:rsid w:val="00CB0893"/>
    <w:rsid w:val="00CB0BF0"/>
    <w:rsid w:val="00CB1A71"/>
    <w:rsid w:val="00CB33CA"/>
    <w:rsid w:val="00CB3915"/>
    <w:rsid w:val="00CC2128"/>
    <w:rsid w:val="00CC2A4B"/>
    <w:rsid w:val="00CC4A0B"/>
    <w:rsid w:val="00CC50D3"/>
    <w:rsid w:val="00CC5FED"/>
    <w:rsid w:val="00CC683C"/>
    <w:rsid w:val="00CC74CF"/>
    <w:rsid w:val="00CD2BE1"/>
    <w:rsid w:val="00CD5A0C"/>
    <w:rsid w:val="00CE2F5A"/>
    <w:rsid w:val="00CE756F"/>
    <w:rsid w:val="00CF3F07"/>
    <w:rsid w:val="00CF54E1"/>
    <w:rsid w:val="00D06383"/>
    <w:rsid w:val="00D11423"/>
    <w:rsid w:val="00D12067"/>
    <w:rsid w:val="00D147C4"/>
    <w:rsid w:val="00D15210"/>
    <w:rsid w:val="00D15D1A"/>
    <w:rsid w:val="00D203A6"/>
    <w:rsid w:val="00D210E8"/>
    <w:rsid w:val="00D2601F"/>
    <w:rsid w:val="00D3433B"/>
    <w:rsid w:val="00D36B55"/>
    <w:rsid w:val="00D374C4"/>
    <w:rsid w:val="00D414CC"/>
    <w:rsid w:val="00D41EEC"/>
    <w:rsid w:val="00D42A02"/>
    <w:rsid w:val="00D46E44"/>
    <w:rsid w:val="00D47463"/>
    <w:rsid w:val="00D4781D"/>
    <w:rsid w:val="00D511EE"/>
    <w:rsid w:val="00D5146C"/>
    <w:rsid w:val="00D51CAF"/>
    <w:rsid w:val="00D52CA8"/>
    <w:rsid w:val="00D53AD7"/>
    <w:rsid w:val="00D57BFB"/>
    <w:rsid w:val="00D57CF6"/>
    <w:rsid w:val="00D61D55"/>
    <w:rsid w:val="00D624C3"/>
    <w:rsid w:val="00D64915"/>
    <w:rsid w:val="00D65478"/>
    <w:rsid w:val="00D71AA6"/>
    <w:rsid w:val="00D72913"/>
    <w:rsid w:val="00D73941"/>
    <w:rsid w:val="00D7519C"/>
    <w:rsid w:val="00D75338"/>
    <w:rsid w:val="00D76D4D"/>
    <w:rsid w:val="00D81392"/>
    <w:rsid w:val="00D822DD"/>
    <w:rsid w:val="00D82587"/>
    <w:rsid w:val="00D90067"/>
    <w:rsid w:val="00D90F65"/>
    <w:rsid w:val="00D91CAE"/>
    <w:rsid w:val="00D95F7C"/>
    <w:rsid w:val="00D963CE"/>
    <w:rsid w:val="00DA0535"/>
    <w:rsid w:val="00DA55A2"/>
    <w:rsid w:val="00DA5716"/>
    <w:rsid w:val="00DA6D3C"/>
    <w:rsid w:val="00DB03EA"/>
    <w:rsid w:val="00DB2E9B"/>
    <w:rsid w:val="00DB4BC9"/>
    <w:rsid w:val="00DB63CE"/>
    <w:rsid w:val="00DC0A44"/>
    <w:rsid w:val="00DC18AA"/>
    <w:rsid w:val="00DC2C15"/>
    <w:rsid w:val="00DC5038"/>
    <w:rsid w:val="00DC734D"/>
    <w:rsid w:val="00DD0943"/>
    <w:rsid w:val="00DD104E"/>
    <w:rsid w:val="00DD1200"/>
    <w:rsid w:val="00DD12B0"/>
    <w:rsid w:val="00DD75F0"/>
    <w:rsid w:val="00DE248A"/>
    <w:rsid w:val="00DE70C7"/>
    <w:rsid w:val="00DF10A5"/>
    <w:rsid w:val="00DF1F30"/>
    <w:rsid w:val="00DF2E90"/>
    <w:rsid w:val="00DF4679"/>
    <w:rsid w:val="00DF7ADE"/>
    <w:rsid w:val="00E05C0F"/>
    <w:rsid w:val="00E06493"/>
    <w:rsid w:val="00E10179"/>
    <w:rsid w:val="00E1131F"/>
    <w:rsid w:val="00E11E02"/>
    <w:rsid w:val="00E13E48"/>
    <w:rsid w:val="00E17D71"/>
    <w:rsid w:val="00E205C5"/>
    <w:rsid w:val="00E2613D"/>
    <w:rsid w:val="00E27135"/>
    <w:rsid w:val="00E3138C"/>
    <w:rsid w:val="00E3352C"/>
    <w:rsid w:val="00E359E7"/>
    <w:rsid w:val="00E44900"/>
    <w:rsid w:val="00E44D58"/>
    <w:rsid w:val="00E465A5"/>
    <w:rsid w:val="00E46DD6"/>
    <w:rsid w:val="00E52FC1"/>
    <w:rsid w:val="00E53D55"/>
    <w:rsid w:val="00E541F0"/>
    <w:rsid w:val="00E552D1"/>
    <w:rsid w:val="00E65884"/>
    <w:rsid w:val="00E67621"/>
    <w:rsid w:val="00E67A85"/>
    <w:rsid w:val="00E7096F"/>
    <w:rsid w:val="00E71DF6"/>
    <w:rsid w:val="00E72278"/>
    <w:rsid w:val="00E743A1"/>
    <w:rsid w:val="00E856F3"/>
    <w:rsid w:val="00E90888"/>
    <w:rsid w:val="00E90921"/>
    <w:rsid w:val="00E9146D"/>
    <w:rsid w:val="00E91B14"/>
    <w:rsid w:val="00E93843"/>
    <w:rsid w:val="00E95A7F"/>
    <w:rsid w:val="00E97BF3"/>
    <w:rsid w:val="00EA2EFF"/>
    <w:rsid w:val="00EB10E3"/>
    <w:rsid w:val="00EB1B94"/>
    <w:rsid w:val="00EB3F4E"/>
    <w:rsid w:val="00EB62F8"/>
    <w:rsid w:val="00EB7873"/>
    <w:rsid w:val="00EC4224"/>
    <w:rsid w:val="00EC4469"/>
    <w:rsid w:val="00EC5E39"/>
    <w:rsid w:val="00EC70B1"/>
    <w:rsid w:val="00ED5249"/>
    <w:rsid w:val="00ED5308"/>
    <w:rsid w:val="00ED567C"/>
    <w:rsid w:val="00ED64C4"/>
    <w:rsid w:val="00EE1322"/>
    <w:rsid w:val="00EE4E86"/>
    <w:rsid w:val="00EF04B7"/>
    <w:rsid w:val="00EF06BE"/>
    <w:rsid w:val="00EF1374"/>
    <w:rsid w:val="00EF1848"/>
    <w:rsid w:val="00EF2551"/>
    <w:rsid w:val="00EF2A20"/>
    <w:rsid w:val="00EF368D"/>
    <w:rsid w:val="00EF5DC5"/>
    <w:rsid w:val="00F0418F"/>
    <w:rsid w:val="00F0461C"/>
    <w:rsid w:val="00F05688"/>
    <w:rsid w:val="00F07B4D"/>
    <w:rsid w:val="00F1398A"/>
    <w:rsid w:val="00F155CE"/>
    <w:rsid w:val="00F162F4"/>
    <w:rsid w:val="00F246C8"/>
    <w:rsid w:val="00F266CE"/>
    <w:rsid w:val="00F26D16"/>
    <w:rsid w:val="00F27170"/>
    <w:rsid w:val="00F35F9D"/>
    <w:rsid w:val="00F37D6C"/>
    <w:rsid w:val="00F468ED"/>
    <w:rsid w:val="00F50C43"/>
    <w:rsid w:val="00F54FFF"/>
    <w:rsid w:val="00F601A0"/>
    <w:rsid w:val="00F60591"/>
    <w:rsid w:val="00F66B8F"/>
    <w:rsid w:val="00F67272"/>
    <w:rsid w:val="00F70584"/>
    <w:rsid w:val="00F719FE"/>
    <w:rsid w:val="00F73734"/>
    <w:rsid w:val="00F740AA"/>
    <w:rsid w:val="00F75480"/>
    <w:rsid w:val="00F76533"/>
    <w:rsid w:val="00F76A3D"/>
    <w:rsid w:val="00F80FEA"/>
    <w:rsid w:val="00F8354E"/>
    <w:rsid w:val="00F85B4E"/>
    <w:rsid w:val="00F86C39"/>
    <w:rsid w:val="00F87B62"/>
    <w:rsid w:val="00F91FEA"/>
    <w:rsid w:val="00F923C4"/>
    <w:rsid w:val="00F92C65"/>
    <w:rsid w:val="00F936C7"/>
    <w:rsid w:val="00F94223"/>
    <w:rsid w:val="00F9521F"/>
    <w:rsid w:val="00F96A2B"/>
    <w:rsid w:val="00F97061"/>
    <w:rsid w:val="00FA2043"/>
    <w:rsid w:val="00FA490C"/>
    <w:rsid w:val="00FA4D46"/>
    <w:rsid w:val="00FB1FD4"/>
    <w:rsid w:val="00FB6D75"/>
    <w:rsid w:val="00FC3280"/>
    <w:rsid w:val="00FC354A"/>
    <w:rsid w:val="00FC76FF"/>
    <w:rsid w:val="00FC78BC"/>
    <w:rsid w:val="00FD208D"/>
    <w:rsid w:val="00FD4748"/>
    <w:rsid w:val="00FE1DEF"/>
    <w:rsid w:val="00FE52B6"/>
    <w:rsid w:val="00FE6932"/>
    <w:rsid w:val="00FE7F55"/>
    <w:rsid w:val="00FF0D96"/>
    <w:rsid w:val="00FF123A"/>
    <w:rsid w:val="00FF14DC"/>
    <w:rsid w:val="00FF1B73"/>
    <w:rsid w:val="00FF23E9"/>
    <w:rsid w:val="00FF660B"/>
    <w:rsid w:val="32E6C2F0"/>
    <w:rsid w:val="46A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ED67"/>
  <w14:defaultImageDpi w14:val="32767"/>
  <w15:chartTrackingRefBased/>
  <w15:docId w15:val="{18E0EB14-51AE-7D44-9CA0-EBFADDB6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46A4F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E27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9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DE6"/>
  </w:style>
  <w:style w:type="paragraph" w:styleId="Zpat">
    <w:name w:val="footer"/>
    <w:basedOn w:val="Normln"/>
    <w:link w:val="ZpatChar"/>
    <w:uiPriority w:val="99"/>
    <w:unhideWhenUsed/>
    <w:rsid w:val="0047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DE6"/>
  </w:style>
  <w:style w:type="table" w:styleId="Mkatabulky">
    <w:name w:val="Table Grid"/>
    <w:basedOn w:val="Normlntabulka"/>
    <w:uiPriority w:val="59"/>
    <w:rsid w:val="00474DE6"/>
    <w:pPr>
      <w:ind w:left="567" w:hanging="567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785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Standardnpsmoodstavce"/>
    <w:rsid w:val="007853DC"/>
  </w:style>
  <w:style w:type="character" w:customStyle="1" w:styleId="spellingerror">
    <w:name w:val="spellingerror"/>
    <w:basedOn w:val="Standardnpsmoodstavce"/>
    <w:rsid w:val="00396AFB"/>
  </w:style>
  <w:style w:type="character" w:customStyle="1" w:styleId="eop">
    <w:name w:val="eop"/>
    <w:basedOn w:val="Standardnpsmoodstavce"/>
    <w:rsid w:val="00396AFB"/>
  </w:style>
  <w:style w:type="character" w:customStyle="1" w:styleId="Nadpis1Char">
    <w:name w:val="Nadpis 1 Char"/>
    <w:basedOn w:val="Standardnpsmoodstavce"/>
    <w:link w:val="Nadpis1"/>
    <w:uiPriority w:val="9"/>
    <w:rsid w:val="00E27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CB3915"/>
    <w:pPr>
      <w:spacing w:after="200"/>
    </w:pPr>
    <w:rPr>
      <w:i/>
      <w:iCs/>
      <w:color w:val="44546A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4B6E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B6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B6E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2F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F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F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F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F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F5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69F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6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Standardnpsmoodstavce"/>
    <w:rsid w:val="005969FC"/>
  </w:style>
  <w:style w:type="paragraph" w:styleId="Seznamobrzk">
    <w:name w:val="table of figures"/>
    <w:basedOn w:val="Normln"/>
    <w:next w:val="Normln"/>
    <w:uiPriority w:val="99"/>
    <w:unhideWhenUsed/>
    <w:rsid w:val="0071182D"/>
  </w:style>
  <w:style w:type="paragraph" w:styleId="Nadpisobsahu">
    <w:name w:val="TOC Heading"/>
    <w:basedOn w:val="Nadpis1"/>
    <w:next w:val="Normln"/>
    <w:uiPriority w:val="39"/>
    <w:unhideWhenUsed/>
    <w:qFormat/>
    <w:rsid w:val="00773B8A"/>
    <w:pPr>
      <w:spacing w:line="259" w:lineRule="auto"/>
      <w:outlineLvl w:val="9"/>
    </w:pPr>
    <w:rPr>
      <w:lang w:eastAsia="pl-PL"/>
    </w:rPr>
  </w:style>
  <w:style w:type="paragraph" w:styleId="Obsah1">
    <w:name w:val="toc 1"/>
    <w:basedOn w:val="Normln"/>
    <w:next w:val="Normln"/>
    <w:autoRedefine/>
    <w:uiPriority w:val="39"/>
    <w:unhideWhenUsed/>
    <w:rsid w:val="001372DE"/>
    <w:pPr>
      <w:tabs>
        <w:tab w:val="right" w:leader="dot" w:pos="9056"/>
      </w:tabs>
      <w:spacing w:after="100"/>
    </w:pPr>
    <w:rPr>
      <w:rFonts w:eastAsia="Times New Roman" w:cstheme="minorHAnsi"/>
      <w:b/>
      <w:bCs/>
      <w:noProof/>
      <w:lang w:val="en-US" w:eastAsia="pl-PL"/>
    </w:rPr>
  </w:style>
  <w:style w:type="paragraph" w:styleId="Bezmezer">
    <w:name w:val="No Spacing"/>
    <w:link w:val="BezmezerChar"/>
    <w:uiPriority w:val="1"/>
    <w:qFormat/>
    <w:rsid w:val="00086E79"/>
    <w:rPr>
      <w:rFonts w:eastAsiaTheme="minorEastAsia"/>
      <w:sz w:val="22"/>
      <w:szCs w:val="22"/>
      <w:lang w:eastAsia="pl-PL"/>
    </w:rPr>
  </w:style>
  <w:style w:type="character" w:customStyle="1" w:styleId="BezmezerChar">
    <w:name w:val="Bez mezer Char"/>
    <w:basedOn w:val="Standardnpsmoodstavce"/>
    <w:link w:val="Bezmezer"/>
    <w:uiPriority w:val="1"/>
    <w:rsid w:val="00086E79"/>
    <w:rPr>
      <w:rFonts w:eastAsiaTheme="minorEastAsia"/>
      <w:sz w:val="22"/>
      <w:szCs w:val="22"/>
      <w:lang w:eastAsia="pl-PL"/>
    </w:rPr>
  </w:style>
  <w:style w:type="character" w:styleId="Sledovanodkaz">
    <w:name w:val="FollowedHyperlink"/>
    <w:basedOn w:val="Standardnpsmoodstavce"/>
    <w:uiPriority w:val="99"/>
    <w:semiHidden/>
    <w:unhideWhenUsed/>
    <w:rsid w:val="0071787D"/>
    <w:rPr>
      <w:color w:val="954F72" w:themeColor="followedHyperlink"/>
      <w:u w:val="single"/>
    </w:rPr>
  </w:style>
  <w:style w:type="character" w:customStyle="1" w:styleId="xgmail-apple-converted-space">
    <w:name w:val="x_gmail-apple-converted-space"/>
    <w:basedOn w:val="Standardnpsmoodstavce"/>
    <w:rsid w:val="00193CEB"/>
  </w:style>
  <w:style w:type="character" w:styleId="Nevyeenzmnka">
    <w:name w:val="Unresolved Mention"/>
    <w:basedOn w:val="Standardnpsmoodstavce"/>
    <w:uiPriority w:val="99"/>
    <w:rsid w:val="00DC0A44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10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10BE"/>
    <w:rPr>
      <w:sz w:val="20"/>
      <w:szCs w:val="20"/>
      <w:lang w:val="en-GB"/>
    </w:rPr>
  </w:style>
  <w:style w:type="character" w:styleId="Odkaznavysvtlivky">
    <w:name w:val="endnote reference"/>
    <w:basedOn w:val="Standardnpsmoodstavce"/>
    <w:uiPriority w:val="99"/>
    <w:semiHidden/>
    <w:unhideWhenUsed/>
    <w:rsid w:val="006810BE"/>
    <w:rPr>
      <w:vertAlign w:val="superscript"/>
    </w:rPr>
  </w:style>
  <w:style w:type="paragraph" w:styleId="Revize">
    <w:name w:val="Revision"/>
    <w:hidden/>
    <w:uiPriority w:val="99"/>
    <w:semiHidden/>
    <w:rsid w:val="00BC25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26" Type="http://schemas.openxmlformats.org/officeDocument/2006/relationships/hyperlink" Target="https://www.unido.org/stories/what-are-green-skills" TargetMode="External"/><Relationship Id="rId21" Type="http://schemas.openxmlformats.org/officeDocument/2006/relationships/diagramData" Target="diagrams/data2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Colors" Target="diagrams/colors1.xml"/><Relationship Id="rId25" Type="http://schemas.microsoft.com/office/2007/relationships/diagramDrawing" Target="diagrams/drawing2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5.png"/><Relationship Id="rId29" Type="http://schemas.openxmlformats.org/officeDocument/2006/relationships/hyperlink" Target="https://www.undp.org/publications/peoples-climate-vo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diagramColors" Target="diagrams/colors2.xml"/><Relationship Id="rId32" Type="http://schemas.openxmlformats.org/officeDocument/2006/relationships/hyperlink" Target="https://www.ilo.org/wcmsp5/groups/public/---dgreports/---dcomm/---publ/documents/publication/wcms_159585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diagramQuickStyle" Target="diagrams/quickStyle2.xml"/><Relationship Id="rId28" Type="http://schemas.openxmlformats.org/officeDocument/2006/relationships/hyperlink" Target="https://voxeu.org/article/green-skills" TargetMode="External"/><Relationship Id="rId36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://rosted.nu/attachments/File/2010/SMEs_Entrepreneurship_and_Innovation_201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Layout" Target="diagrams/layout2.xml"/><Relationship Id="rId27" Type="http://schemas.openxmlformats.org/officeDocument/2006/relationships/hyperlink" Target="http://asiafoundation.org/resources/pdfs/climatechangeperceptionsurvey.pdf" TargetMode="External"/><Relationship Id="rId30" Type="http://schemas.openxmlformats.org/officeDocument/2006/relationships/hyperlink" Target="https://economicgraph.linkedin.com/research/global-green-skills-report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9201A0-6F7A-4DA3-95D1-9A8156EDAD0E}" type="doc">
      <dgm:prSet loTypeId="urn:microsoft.com/office/officeart/2005/8/layout/orgChart1" loCatId="hierarchy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pl-PL"/>
        </a:p>
      </dgm:t>
    </dgm:pt>
    <dgm:pt modelId="{EDD03963-75B9-4BF6-AD9E-C1444494F84C}">
      <dgm:prSet phldrT="[Tekst]" custT="1"/>
      <dgm:spPr/>
      <dgm:t>
        <a:bodyPr/>
        <a:lstStyle/>
        <a:p>
          <a:r>
            <a:rPr lang="cs-CZ" sz="1400" b="0"/>
            <a:t>Transformace směrem k zelené ekonomice</a:t>
          </a:r>
          <a:endParaRPr lang="pl-PL" sz="1400" b="0"/>
        </a:p>
      </dgm:t>
    </dgm:pt>
    <dgm:pt modelId="{949345CC-D01B-4FC3-AFC9-594CF9C9F906}" type="parTrans" cxnId="{EF17366C-2662-4F81-9296-DBB97AE31640}">
      <dgm:prSet/>
      <dgm:spPr/>
      <dgm:t>
        <a:bodyPr/>
        <a:lstStyle/>
        <a:p>
          <a:endParaRPr lang="pl-PL"/>
        </a:p>
      </dgm:t>
    </dgm:pt>
    <dgm:pt modelId="{0645322A-5824-4D27-A915-02ED42E11996}" type="sibTrans" cxnId="{EF17366C-2662-4F81-9296-DBB97AE31640}">
      <dgm:prSet/>
      <dgm:spPr/>
      <dgm:t>
        <a:bodyPr/>
        <a:lstStyle/>
        <a:p>
          <a:endParaRPr lang="pl-PL"/>
        </a:p>
      </dgm:t>
    </dgm:pt>
    <dgm:pt modelId="{5AC8D7C2-2A87-4888-931D-AEFFF27A48D1}">
      <dgm:prSet phldrT="[Tekst]" custT="1"/>
      <dgm:spPr/>
      <dgm:t>
        <a:bodyPr/>
        <a:lstStyle/>
        <a:p>
          <a:r>
            <a:rPr lang="cs-CZ" sz="1400" b="0"/>
            <a:t>přesuny mezi odvětvími</a:t>
          </a:r>
          <a:endParaRPr lang="pl-PL" sz="1400" b="0"/>
        </a:p>
      </dgm:t>
    </dgm:pt>
    <dgm:pt modelId="{00DE660F-5DA8-4301-BA23-D20AE8C9E51C}" type="parTrans" cxnId="{91EB9722-DFFD-448E-9C45-4391904241DA}">
      <dgm:prSet/>
      <dgm:spPr/>
      <dgm:t>
        <a:bodyPr/>
        <a:lstStyle/>
        <a:p>
          <a:endParaRPr lang="pl-PL"/>
        </a:p>
      </dgm:t>
    </dgm:pt>
    <dgm:pt modelId="{29DB1F83-E48C-42B7-9357-85745B551709}" type="sibTrans" cxnId="{91EB9722-DFFD-448E-9C45-4391904241DA}">
      <dgm:prSet/>
      <dgm:spPr/>
      <dgm:t>
        <a:bodyPr/>
        <a:lstStyle/>
        <a:p>
          <a:endParaRPr lang="pl-PL"/>
        </a:p>
      </dgm:t>
    </dgm:pt>
    <dgm:pt modelId="{66794E62-E243-4367-9AA4-B0B1EA2B4368}">
      <dgm:prSet phldrT="[Tekst]" custT="1"/>
      <dgm:spPr/>
      <dgm:t>
        <a:bodyPr/>
        <a:lstStyle/>
        <a:p>
          <a:r>
            <a:rPr lang="cs-CZ" sz="1400" b="0"/>
            <a:t>rozvoj nových povolání</a:t>
          </a:r>
          <a:endParaRPr lang="pl-PL" sz="1400" b="0"/>
        </a:p>
      </dgm:t>
    </dgm:pt>
    <dgm:pt modelId="{037A606F-59DB-4E5B-8DD1-41BA7D89589D}" type="parTrans" cxnId="{E8343D7D-21F2-444D-925E-F5006A26B073}">
      <dgm:prSet/>
      <dgm:spPr/>
      <dgm:t>
        <a:bodyPr/>
        <a:lstStyle/>
        <a:p>
          <a:endParaRPr lang="pl-PL"/>
        </a:p>
      </dgm:t>
    </dgm:pt>
    <dgm:pt modelId="{5CC9F0CD-8354-4E46-946C-C7CDD60BF076}" type="sibTrans" cxnId="{E8343D7D-21F2-444D-925E-F5006A26B073}">
      <dgm:prSet/>
      <dgm:spPr/>
      <dgm:t>
        <a:bodyPr/>
        <a:lstStyle/>
        <a:p>
          <a:endParaRPr lang="pl-PL"/>
        </a:p>
      </dgm:t>
    </dgm:pt>
    <dgm:pt modelId="{DD497D3E-AACD-439B-81F9-4FD04990241F}">
      <dgm:prSet phldrT="[Tekst]" custT="1"/>
      <dgm:spPr/>
      <dgm:t>
        <a:bodyPr/>
        <a:lstStyle/>
        <a:p>
          <a:r>
            <a:rPr lang="cs-CZ" sz="1400" b="0"/>
            <a:t>změna kvalifikačních profilů povolání</a:t>
          </a:r>
          <a:endParaRPr lang="pl-PL" sz="1400" b="0"/>
        </a:p>
      </dgm:t>
    </dgm:pt>
    <dgm:pt modelId="{B1CC9D07-F6C4-49E7-B604-091474E1129B}" type="parTrans" cxnId="{AF2169C7-3CCC-4B1A-B6C3-B8B7F4A79C1D}">
      <dgm:prSet/>
      <dgm:spPr/>
      <dgm:t>
        <a:bodyPr/>
        <a:lstStyle/>
        <a:p>
          <a:endParaRPr lang="pl-PL"/>
        </a:p>
      </dgm:t>
    </dgm:pt>
    <dgm:pt modelId="{41DB8FAA-9586-4F4B-A594-B713AD14DA8F}" type="sibTrans" cxnId="{AF2169C7-3CCC-4B1A-B6C3-B8B7F4A79C1D}">
      <dgm:prSet/>
      <dgm:spPr/>
      <dgm:t>
        <a:bodyPr/>
        <a:lstStyle/>
        <a:p>
          <a:endParaRPr lang="pl-PL"/>
        </a:p>
      </dgm:t>
    </dgm:pt>
    <dgm:pt modelId="{DC4EDADD-35CD-4A7A-BFDB-4C06797F1FC1}" type="pres">
      <dgm:prSet presAssocID="{5E9201A0-6F7A-4DA3-95D1-9A8156EDA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D5B0C4-8DF5-42D7-B31F-1B03C55488EA}" type="pres">
      <dgm:prSet presAssocID="{EDD03963-75B9-4BF6-AD9E-C1444494F84C}" presName="hierRoot1" presStyleCnt="0">
        <dgm:presLayoutVars>
          <dgm:hierBranch val="init"/>
        </dgm:presLayoutVars>
      </dgm:prSet>
      <dgm:spPr/>
    </dgm:pt>
    <dgm:pt modelId="{1FD732F8-8AEB-428B-A91C-CA6EDF17DCDF}" type="pres">
      <dgm:prSet presAssocID="{EDD03963-75B9-4BF6-AD9E-C1444494F84C}" presName="rootComposite1" presStyleCnt="0"/>
      <dgm:spPr/>
    </dgm:pt>
    <dgm:pt modelId="{A6695EAC-6CC3-41E2-93DE-F265A0AB1058}" type="pres">
      <dgm:prSet presAssocID="{EDD03963-75B9-4BF6-AD9E-C1444494F84C}" presName="rootText1" presStyleLbl="node0" presStyleIdx="0" presStyleCnt="1">
        <dgm:presLayoutVars>
          <dgm:chPref val="3"/>
        </dgm:presLayoutVars>
      </dgm:prSet>
      <dgm:spPr/>
    </dgm:pt>
    <dgm:pt modelId="{53C39740-4D07-45B8-923C-15C31E6A635E}" type="pres">
      <dgm:prSet presAssocID="{EDD03963-75B9-4BF6-AD9E-C1444494F84C}" presName="rootConnector1" presStyleLbl="node1" presStyleIdx="0" presStyleCnt="0"/>
      <dgm:spPr/>
    </dgm:pt>
    <dgm:pt modelId="{82731DB3-07C9-49B2-87EE-7D9B5D402CE7}" type="pres">
      <dgm:prSet presAssocID="{EDD03963-75B9-4BF6-AD9E-C1444494F84C}" presName="hierChild2" presStyleCnt="0"/>
      <dgm:spPr/>
    </dgm:pt>
    <dgm:pt modelId="{68C3A63F-ECD1-4E64-923D-55297E8EC8BC}" type="pres">
      <dgm:prSet presAssocID="{00DE660F-5DA8-4301-BA23-D20AE8C9E51C}" presName="Name37" presStyleLbl="parChTrans1D2" presStyleIdx="0" presStyleCnt="3"/>
      <dgm:spPr/>
    </dgm:pt>
    <dgm:pt modelId="{DBF729D0-13AE-4719-A0F6-E9646ED94816}" type="pres">
      <dgm:prSet presAssocID="{5AC8D7C2-2A87-4888-931D-AEFFF27A48D1}" presName="hierRoot2" presStyleCnt="0">
        <dgm:presLayoutVars>
          <dgm:hierBranch val="init"/>
        </dgm:presLayoutVars>
      </dgm:prSet>
      <dgm:spPr/>
    </dgm:pt>
    <dgm:pt modelId="{CC6F0198-73F5-4701-B013-F53CC49E652F}" type="pres">
      <dgm:prSet presAssocID="{5AC8D7C2-2A87-4888-931D-AEFFF27A48D1}" presName="rootComposite" presStyleCnt="0"/>
      <dgm:spPr/>
    </dgm:pt>
    <dgm:pt modelId="{3BEC257F-84E6-4D7C-B103-C92060CCB7DB}" type="pres">
      <dgm:prSet presAssocID="{5AC8D7C2-2A87-4888-931D-AEFFF27A48D1}" presName="rootText" presStyleLbl="node2" presStyleIdx="0" presStyleCnt="3">
        <dgm:presLayoutVars>
          <dgm:chPref val="3"/>
        </dgm:presLayoutVars>
      </dgm:prSet>
      <dgm:spPr/>
    </dgm:pt>
    <dgm:pt modelId="{AC7A1EFE-78DE-4058-86CE-E3C9215369C9}" type="pres">
      <dgm:prSet presAssocID="{5AC8D7C2-2A87-4888-931D-AEFFF27A48D1}" presName="rootConnector" presStyleLbl="node2" presStyleIdx="0" presStyleCnt="3"/>
      <dgm:spPr/>
    </dgm:pt>
    <dgm:pt modelId="{3A856FC7-9745-41D1-9E36-38E03C3C0FBC}" type="pres">
      <dgm:prSet presAssocID="{5AC8D7C2-2A87-4888-931D-AEFFF27A48D1}" presName="hierChild4" presStyleCnt="0"/>
      <dgm:spPr/>
    </dgm:pt>
    <dgm:pt modelId="{4D14A7F0-DAE1-4E30-A9B3-97D418D6F704}" type="pres">
      <dgm:prSet presAssocID="{5AC8D7C2-2A87-4888-931D-AEFFF27A48D1}" presName="hierChild5" presStyleCnt="0"/>
      <dgm:spPr/>
    </dgm:pt>
    <dgm:pt modelId="{6B3FEFEC-0793-4D2F-8D48-1B86806D2F00}" type="pres">
      <dgm:prSet presAssocID="{037A606F-59DB-4E5B-8DD1-41BA7D89589D}" presName="Name37" presStyleLbl="parChTrans1D2" presStyleIdx="1" presStyleCnt="3"/>
      <dgm:spPr/>
    </dgm:pt>
    <dgm:pt modelId="{9A4F192F-9A4C-4F76-8558-4A0F9B24CB3F}" type="pres">
      <dgm:prSet presAssocID="{66794E62-E243-4367-9AA4-B0B1EA2B4368}" presName="hierRoot2" presStyleCnt="0">
        <dgm:presLayoutVars>
          <dgm:hierBranch val="init"/>
        </dgm:presLayoutVars>
      </dgm:prSet>
      <dgm:spPr/>
    </dgm:pt>
    <dgm:pt modelId="{EB12F71B-FD05-4433-8F8C-D873B9C56334}" type="pres">
      <dgm:prSet presAssocID="{66794E62-E243-4367-9AA4-B0B1EA2B4368}" presName="rootComposite" presStyleCnt="0"/>
      <dgm:spPr/>
    </dgm:pt>
    <dgm:pt modelId="{D535DFDE-3823-4EC1-82B8-FD63D3B4A9B5}" type="pres">
      <dgm:prSet presAssocID="{66794E62-E243-4367-9AA4-B0B1EA2B4368}" presName="rootText" presStyleLbl="node2" presStyleIdx="1" presStyleCnt="3">
        <dgm:presLayoutVars>
          <dgm:chPref val="3"/>
        </dgm:presLayoutVars>
      </dgm:prSet>
      <dgm:spPr/>
    </dgm:pt>
    <dgm:pt modelId="{974CC7F9-FFD4-4F5B-849E-2A1BF6578F15}" type="pres">
      <dgm:prSet presAssocID="{66794E62-E243-4367-9AA4-B0B1EA2B4368}" presName="rootConnector" presStyleLbl="node2" presStyleIdx="1" presStyleCnt="3"/>
      <dgm:spPr/>
    </dgm:pt>
    <dgm:pt modelId="{26A32D68-480F-4E71-BCC2-E3741E46FB1D}" type="pres">
      <dgm:prSet presAssocID="{66794E62-E243-4367-9AA4-B0B1EA2B4368}" presName="hierChild4" presStyleCnt="0"/>
      <dgm:spPr/>
    </dgm:pt>
    <dgm:pt modelId="{CFA58CCA-4589-4CBC-9E96-D4DD303684B7}" type="pres">
      <dgm:prSet presAssocID="{66794E62-E243-4367-9AA4-B0B1EA2B4368}" presName="hierChild5" presStyleCnt="0"/>
      <dgm:spPr/>
    </dgm:pt>
    <dgm:pt modelId="{21B8D218-F1FA-4B10-AE51-DBACA32B1D6F}" type="pres">
      <dgm:prSet presAssocID="{B1CC9D07-F6C4-49E7-B604-091474E1129B}" presName="Name37" presStyleLbl="parChTrans1D2" presStyleIdx="2" presStyleCnt="3"/>
      <dgm:spPr/>
    </dgm:pt>
    <dgm:pt modelId="{34984BF3-CAB6-43FC-959C-38533E7908C7}" type="pres">
      <dgm:prSet presAssocID="{DD497D3E-AACD-439B-81F9-4FD04990241F}" presName="hierRoot2" presStyleCnt="0">
        <dgm:presLayoutVars>
          <dgm:hierBranch val="init"/>
        </dgm:presLayoutVars>
      </dgm:prSet>
      <dgm:spPr/>
    </dgm:pt>
    <dgm:pt modelId="{E475BA91-E12D-4307-90A5-5FCF44D104FB}" type="pres">
      <dgm:prSet presAssocID="{DD497D3E-AACD-439B-81F9-4FD04990241F}" presName="rootComposite" presStyleCnt="0"/>
      <dgm:spPr/>
    </dgm:pt>
    <dgm:pt modelId="{F8DAB4A9-D3ED-4C59-A7C7-6F2A95F5CDD6}" type="pres">
      <dgm:prSet presAssocID="{DD497D3E-AACD-439B-81F9-4FD04990241F}" presName="rootText" presStyleLbl="node2" presStyleIdx="2" presStyleCnt="3">
        <dgm:presLayoutVars>
          <dgm:chPref val="3"/>
        </dgm:presLayoutVars>
      </dgm:prSet>
      <dgm:spPr/>
    </dgm:pt>
    <dgm:pt modelId="{F286AF17-A604-453B-AB3F-272005059312}" type="pres">
      <dgm:prSet presAssocID="{DD497D3E-AACD-439B-81F9-4FD04990241F}" presName="rootConnector" presStyleLbl="node2" presStyleIdx="2" presStyleCnt="3"/>
      <dgm:spPr/>
    </dgm:pt>
    <dgm:pt modelId="{22D9B757-8EC7-4B14-96AE-162C758BF1F7}" type="pres">
      <dgm:prSet presAssocID="{DD497D3E-AACD-439B-81F9-4FD04990241F}" presName="hierChild4" presStyleCnt="0"/>
      <dgm:spPr/>
    </dgm:pt>
    <dgm:pt modelId="{2E11F483-2607-4A43-8143-738E5E956735}" type="pres">
      <dgm:prSet presAssocID="{DD497D3E-AACD-439B-81F9-4FD04990241F}" presName="hierChild5" presStyleCnt="0"/>
      <dgm:spPr/>
    </dgm:pt>
    <dgm:pt modelId="{2C0B6511-573E-4AB7-8DA1-DCD03151663C}" type="pres">
      <dgm:prSet presAssocID="{EDD03963-75B9-4BF6-AD9E-C1444494F84C}" presName="hierChild3" presStyleCnt="0"/>
      <dgm:spPr/>
    </dgm:pt>
  </dgm:ptLst>
  <dgm:cxnLst>
    <dgm:cxn modelId="{05DB3E0D-8C13-449C-BB10-CBDAE72944BF}" type="presOf" srcId="{DD497D3E-AACD-439B-81F9-4FD04990241F}" destId="{F286AF17-A604-453B-AB3F-272005059312}" srcOrd="1" destOrd="0" presId="urn:microsoft.com/office/officeart/2005/8/layout/orgChart1"/>
    <dgm:cxn modelId="{91EB9722-DFFD-448E-9C45-4391904241DA}" srcId="{EDD03963-75B9-4BF6-AD9E-C1444494F84C}" destId="{5AC8D7C2-2A87-4888-931D-AEFFF27A48D1}" srcOrd="0" destOrd="0" parTransId="{00DE660F-5DA8-4301-BA23-D20AE8C9E51C}" sibTransId="{29DB1F83-E48C-42B7-9357-85745B551709}"/>
    <dgm:cxn modelId="{1EBDDE37-443F-4734-8A3D-35BFB20F9D43}" type="presOf" srcId="{5AC8D7C2-2A87-4888-931D-AEFFF27A48D1}" destId="{AC7A1EFE-78DE-4058-86CE-E3C9215369C9}" srcOrd="1" destOrd="0" presId="urn:microsoft.com/office/officeart/2005/8/layout/orgChart1"/>
    <dgm:cxn modelId="{41BD9139-BAB2-48EA-9A04-558992237645}" type="presOf" srcId="{DD497D3E-AACD-439B-81F9-4FD04990241F}" destId="{F8DAB4A9-D3ED-4C59-A7C7-6F2A95F5CDD6}" srcOrd="0" destOrd="0" presId="urn:microsoft.com/office/officeart/2005/8/layout/orgChart1"/>
    <dgm:cxn modelId="{EF17366C-2662-4F81-9296-DBB97AE31640}" srcId="{5E9201A0-6F7A-4DA3-95D1-9A8156EDAD0E}" destId="{EDD03963-75B9-4BF6-AD9E-C1444494F84C}" srcOrd="0" destOrd="0" parTransId="{949345CC-D01B-4FC3-AFC9-594CF9C9F906}" sibTransId="{0645322A-5824-4D27-A915-02ED42E11996}"/>
    <dgm:cxn modelId="{E6E9ED6C-833D-4B2E-B263-3CD991985FB5}" type="presOf" srcId="{EDD03963-75B9-4BF6-AD9E-C1444494F84C}" destId="{A6695EAC-6CC3-41E2-93DE-F265A0AB1058}" srcOrd="0" destOrd="0" presId="urn:microsoft.com/office/officeart/2005/8/layout/orgChart1"/>
    <dgm:cxn modelId="{D725A86D-4B07-4A71-9812-F220DD5817E3}" type="presOf" srcId="{5AC8D7C2-2A87-4888-931D-AEFFF27A48D1}" destId="{3BEC257F-84E6-4D7C-B103-C92060CCB7DB}" srcOrd="0" destOrd="0" presId="urn:microsoft.com/office/officeart/2005/8/layout/orgChart1"/>
    <dgm:cxn modelId="{CC537F4E-7FBA-4A8F-9337-D115919889B9}" type="presOf" srcId="{66794E62-E243-4367-9AA4-B0B1EA2B4368}" destId="{D535DFDE-3823-4EC1-82B8-FD63D3B4A9B5}" srcOrd="0" destOrd="0" presId="urn:microsoft.com/office/officeart/2005/8/layout/orgChart1"/>
    <dgm:cxn modelId="{7BF33F58-B268-4974-B398-B26B9082C28E}" type="presOf" srcId="{037A606F-59DB-4E5B-8DD1-41BA7D89589D}" destId="{6B3FEFEC-0793-4D2F-8D48-1B86806D2F00}" srcOrd="0" destOrd="0" presId="urn:microsoft.com/office/officeart/2005/8/layout/orgChart1"/>
    <dgm:cxn modelId="{E8343D7D-21F2-444D-925E-F5006A26B073}" srcId="{EDD03963-75B9-4BF6-AD9E-C1444494F84C}" destId="{66794E62-E243-4367-9AA4-B0B1EA2B4368}" srcOrd="1" destOrd="0" parTransId="{037A606F-59DB-4E5B-8DD1-41BA7D89589D}" sibTransId="{5CC9F0CD-8354-4E46-946C-C7CDD60BF076}"/>
    <dgm:cxn modelId="{5AC6C086-B059-4C42-A09B-A6C1E06170C3}" type="presOf" srcId="{EDD03963-75B9-4BF6-AD9E-C1444494F84C}" destId="{53C39740-4D07-45B8-923C-15C31E6A635E}" srcOrd="1" destOrd="0" presId="urn:microsoft.com/office/officeart/2005/8/layout/orgChart1"/>
    <dgm:cxn modelId="{EF697A8C-3067-4535-AAAB-44724091E696}" type="presOf" srcId="{5E9201A0-6F7A-4DA3-95D1-9A8156EDAD0E}" destId="{DC4EDADD-35CD-4A7A-BFDB-4C06797F1FC1}" srcOrd="0" destOrd="0" presId="urn:microsoft.com/office/officeart/2005/8/layout/orgChart1"/>
    <dgm:cxn modelId="{D34E8191-3842-43F8-AB61-68EEECCC1FC2}" type="presOf" srcId="{00DE660F-5DA8-4301-BA23-D20AE8C9E51C}" destId="{68C3A63F-ECD1-4E64-923D-55297E8EC8BC}" srcOrd="0" destOrd="0" presId="urn:microsoft.com/office/officeart/2005/8/layout/orgChart1"/>
    <dgm:cxn modelId="{25A1E397-6B3C-47AF-BE1C-F02037736B82}" type="presOf" srcId="{66794E62-E243-4367-9AA4-B0B1EA2B4368}" destId="{974CC7F9-FFD4-4F5B-849E-2A1BF6578F15}" srcOrd="1" destOrd="0" presId="urn:microsoft.com/office/officeart/2005/8/layout/orgChart1"/>
    <dgm:cxn modelId="{AF2169C7-3CCC-4B1A-B6C3-B8B7F4A79C1D}" srcId="{EDD03963-75B9-4BF6-AD9E-C1444494F84C}" destId="{DD497D3E-AACD-439B-81F9-4FD04990241F}" srcOrd="2" destOrd="0" parTransId="{B1CC9D07-F6C4-49E7-B604-091474E1129B}" sibTransId="{41DB8FAA-9586-4F4B-A594-B713AD14DA8F}"/>
    <dgm:cxn modelId="{E74327F8-2296-40C0-B3AB-083162FC764B}" type="presOf" srcId="{B1CC9D07-F6C4-49E7-B604-091474E1129B}" destId="{21B8D218-F1FA-4B10-AE51-DBACA32B1D6F}" srcOrd="0" destOrd="0" presId="urn:microsoft.com/office/officeart/2005/8/layout/orgChart1"/>
    <dgm:cxn modelId="{42D807C3-F228-4F4E-9A81-ECE4F71CB649}" type="presParOf" srcId="{DC4EDADD-35CD-4A7A-BFDB-4C06797F1FC1}" destId="{CBD5B0C4-8DF5-42D7-B31F-1B03C55488EA}" srcOrd="0" destOrd="0" presId="urn:microsoft.com/office/officeart/2005/8/layout/orgChart1"/>
    <dgm:cxn modelId="{466D3CF4-6372-4D50-9134-7959F80A1192}" type="presParOf" srcId="{CBD5B0C4-8DF5-42D7-B31F-1B03C55488EA}" destId="{1FD732F8-8AEB-428B-A91C-CA6EDF17DCDF}" srcOrd="0" destOrd="0" presId="urn:microsoft.com/office/officeart/2005/8/layout/orgChart1"/>
    <dgm:cxn modelId="{B1D7000C-8E98-4DFF-B9FF-7ADC0F35ED17}" type="presParOf" srcId="{1FD732F8-8AEB-428B-A91C-CA6EDF17DCDF}" destId="{A6695EAC-6CC3-41E2-93DE-F265A0AB1058}" srcOrd="0" destOrd="0" presId="urn:microsoft.com/office/officeart/2005/8/layout/orgChart1"/>
    <dgm:cxn modelId="{9878C623-B309-4C5E-A882-99D48ECF37C9}" type="presParOf" srcId="{1FD732F8-8AEB-428B-A91C-CA6EDF17DCDF}" destId="{53C39740-4D07-45B8-923C-15C31E6A635E}" srcOrd="1" destOrd="0" presId="urn:microsoft.com/office/officeart/2005/8/layout/orgChart1"/>
    <dgm:cxn modelId="{7231102C-99A1-4D01-8045-261A18B937CE}" type="presParOf" srcId="{CBD5B0C4-8DF5-42D7-B31F-1B03C55488EA}" destId="{82731DB3-07C9-49B2-87EE-7D9B5D402CE7}" srcOrd="1" destOrd="0" presId="urn:microsoft.com/office/officeart/2005/8/layout/orgChart1"/>
    <dgm:cxn modelId="{D8B06282-3B88-469F-8D8A-65AD93124CA5}" type="presParOf" srcId="{82731DB3-07C9-49B2-87EE-7D9B5D402CE7}" destId="{68C3A63F-ECD1-4E64-923D-55297E8EC8BC}" srcOrd="0" destOrd="0" presId="urn:microsoft.com/office/officeart/2005/8/layout/orgChart1"/>
    <dgm:cxn modelId="{668615EC-1F5E-4204-AB56-E4D451F4F31E}" type="presParOf" srcId="{82731DB3-07C9-49B2-87EE-7D9B5D402CE7}" destId="{DBF729D0-13AE-4719-A0F6-E9646ED94816}" srcOrd="1" destOrd="0" presId="urn:microsoft.com/office/officeart/2005/8/layout/orgChart1"/>
    <dgm:cxn modelId="{A26F0766-88CE-41E5-8323-186D6B2BCEF7}" type="presParOf" srcId="{DBF729D0-13AE-4719-A0F6-E9646ED94816}" destId="{CC6F0198-73F5-4701-B013-F53CC49E652F}" srcOrd="0" destOrd="0" presId="urn:microsoft.com/office/officeart/2005/8/layout/orgChart1"/>
    <dgm:cxn modelId="{7895F5DC-304B-40A4-A638-69936B3C5F69}" type="presParOf" srcId="{CC6F0198-73F5-4701-B013-F53CC49E652F}" destId="{3BEC257F-84E6-4D7C-B103-C92060CCB7DB}" srcOrd="0" destOrd="0" presId="urn:microsoft.com/office/officeart/2005/8/layout/orgChart1"/>
    <dgm:cxn modelId="{62D89905-501E-4251-A950-F479F9496033}" type="presParOf" srcId="{CC6F0198-73F5-4701-B013-F53CC49E652F}" destId="{AC7A1EFE-78DE-4058-86CE-E3C9215369C9}" srcOrd="1" destOrd="0" presId="urn:microsoft.com/office/officeart/2005/8/layout/orgChart1"/>
    <dgm:cxn modelId="{23C29773-FDD3-45B4-9EF0-987DB82C4199}" type="presParOf" srcId="{DBF729D0-13AE-4719-A0F6-E9646ED94816}" destId="{3A856FC7-9745-41D1-9E36-38E03C3C0FBC}" srcOrd="1" destOrd="0" presId="urn:microsoft.com/office/officeart/2005/8/layout/orgChart1"/>
    <dgm:cxn modelId="{77C2531F-CADF-4989-B5DF-7D46FD9F69A1}" type="presParOf" srcId="{DBF729D0-13AE-4719-A0F6-E9646ED94816}" destId="{4D14A7F0-DAE1-4E30-A9B3-97D418D6F704}" srcOrd="2" destOrd="0" presId="urn:microsoft.com/office/officeart/2005/8/layout/orgChart1"/>
    <dgm:cxn modelId="{E6CEBAA0-328C-4BAC-945B-EF3ECEBAEBEA}" type="presParOf" srcId="{82731DB3-07C9-49B2-87EE-7D9B5D402CE7}" destId="{6B3FEFEC-0793-4D2F-8D48-1B86806D2F00}" srcOrd="2" destOrd="0" presId="urn:microsoft.com/office/officeart/2005/8/layout/orgChart1"/>
    <dgm:cxn modelId="{84D2E0FB-3BF7-4F42-8C96-333714AE7618}" type="presParOf" srcId="{82731DB3-07C9-49B2-87EE-7D9B5D402CE7}" destId="{9A4F192F-9A4C-4F76-8558-4A0F9B24CB3F}" srcOrd="3" destOrd="0" presId="urn:microsoft.com/office/officeart/2005/8/layout/orgChart1"/>
    <dgm:cxn modelId="{8202B6EA-D419-4542-A662-E9061FED3EAA}" type="presParOf" srcId="{9A4F192F-9A4C-4F76-8558-4A0F9B24CB3F}" destId="{EB12F71B-FD05-4433-8F8C-D873B9C56334}" srcOrd="0" destOrd="0" presId="urn:microsoft.com/office/officeart/2005/8/layout/orgChart1"/>
    <dgm:cxn modelId="{932F83DB-B9C9-479C-80ED-7351FEA34FAD}" type="presParOf" srcId="{EB12F71B-FD05-4433-8F8C-D873B9C56334}" destId="{D535DFDE-3823-4EC1-82B8-FD63D3B4A9B5}" srcOrd="0" destOrd="0" presId="urn:microsoft.com/office/officeart/2005/8/layout/orgChart1"/>
    <dgm:cxn modelId="{E49EDE40-48C0-40A3-9899-0F8D7A46E5F6}" type="presParOf" srcId="{EB12F71B-FD05-4433-8F8C-D873B9C56334}" destId="{974CC7F9-FFD4-4F5B-849E-2A1BF6578F15}" srcOrd="1" destOrd="0" presId="urn:microsoft.com/office/officeart/2005/8/layout/orgChart1"/>
    <dgm:cxn modelId="{1DDA24ED-F164-4125-B36E-676A8074388C}" type="presParOf" srcId="{9A4F192F-9A4C-4F76-8558-4A0F9B24CB3F}" destId="{26A32D68-480F-4E71-BCC2-E3741E46FB1D}" srcOrd="1" destOrd="0" presId="urn:microsoft.com/office/officeart/2005/8/layout/orgChart1"/>
    <dgm:cxn modelId="{B16C1551-B9A1-4EEB-812C-FAFD839FF644}" type="presParOf" srcId="{9A4F192F-9A4C-4F76-8558-4A0F9B24CB3F}" destId="{CFA58CCA-4589-4CBC-9E96-D4DD303684B7}" srcOrd="2" destOrd="0" presId="urn:microsoft.com/office/officeart/2005/8/layout/orgChart1"/>
    <dgm:cxn modelId="{91AA0594-3C6F-40B9-81BF-3E9D5B01533C}" type="presParOf" srcId="{82731DB3-07C9-49B2-87EE-7D9B5D402CE7}" destId="{21B8D218-F1FA-4B10-AE51-DBACA32B1D6F}" srcOrd="4" destOrd="0" presId="urn:microsoft.com/office/officeart/2005/8/layout/orgChart1"/>
    <dgm:cxn modelId="{58CA6522-3DD2-4AB5-BB19-90B9BF3FEAF8}" type="presParOf" srcId="{82731DB3-07C9-49B2-87EE-7D9B5D402CE7}" destId="{34984BF3-CAB6-43FC-959C-38533E7908C7}" srcOrd="5" destOrd="0" presId="urn:microsoft.com/office/officeart/2005/8/layout/orgChart1"/>
    <dgm:cxn modelId="{48D74EB8-0808-4A9F-932A-726554584A27}" type="presParOf" srcId="{34984BF3-CAB6-43FC-959C-38533E7908C7}" destId="{E475BA91-E12D-4307-90A5-5FCF44D104FB}" srcOrd="0" destOrd="0" presId="urn:microsoft.com/office/officeart/2005/8/layout/orgChart1"/>
    <dgm:cxn modelId="{0F7D4A26-A326-462F-85C9-CBA2D916FD4B}" type="presParOf" srcId="{E475BA91-E12D-4307-90A5-5FCF44D104FB}" destId="{F8DAB4A9-D3ED-4C59-A7C7-6F2A95F5CDD6}" srcOrd="0" destOrd="0" presId="urn:microsoft.com/office/officeart/2005/8/layout/orgChart1"/>
    <dgm:cxn modelId="{A8B04F26-02AD-4FBC-AB34-80C920FC1CF2}" type="presParOf" srcId="{E475BA91-E12D-4307-90A5-5FCF44D104FB}" destId="{F286AF17-A604-453B-AB3F-272005059312}" srcOrd="1" destOrd="0" presId="urn:microsoft.com/office/officeart/2005/8/layout/orgChart1"/>
    <dgm:cxn modelId="{D27F7F68-B8D0-424E-A2A1-86550AB66CD5}" type="presParOf" srcId="{34984BF3-CAB6-43FC-959C-38533E7908C7}" destId="{22D9B757-8EC7-4B14-96AE-162C758BF1F7}" srcOrd="1" destOrd="0" presId="urn:microsoft.com/office/officeart/2005/8/layout/orgChart1"/>
    <dgm:cxn modelId="{B107C20C-0D68-4E05-A41E-D6693188F509}" type="presParOf" srcId="{34984BF3-CAB6-43FC-959C-38533E7908C7}" destId="{2E11F483-2607-4A43-8143-738E5E956735}" srcOrd="2" destOrd="0" presId="urn:microsoft.com/office/officeart/2005/8/layout/orgChart1"/>
    <dgm:cxn modelId="{0B420299-A03F-49F6-8C75-342D5EADE32C}" type="presParOf" srcId="{CBD5B0C4-8DF5-42D7-B31F-1B03C55488EA}" destId="{2C0B6511-573E-4AB7-8DA1-DCD0315166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70BC78-10A3-4B1D-90F9-3BF8D86A2429}" type="doc">
      <dgm:prSet loTypeId="urn:microsoft.com/office/officeart/2005/8/layout/arrow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1E7DA99E-7E9B-4FD4-BBD0-AE141C432F47}">
      <dgm:prSet phldrT="[Tekst]" custT="1"/>
      <dgm:spPr/>
      <dgm:t>
        <a:bodyPr/>
        <a:lstStyle/>
        <a:p>
          <a:pPr algn="ctr"/>
          <a:r>
            <a:rPr lang="pl-PL" sz="1100" b="1" dirty="0"/>
            <a:t>Hnědá ekonomika</a:t>
          </a:r>
        </a:p>
      </dgm:t>
    </dgm:pt>
    <dgm:pt modelId="{FA269F6D-1556-42A2-BB87-38BE47370533}" type="parTrans" cxnId="{B49FBEC2-B3EB-4FED-8588-BEC1E825F361}">
      <dgm:prSet/>
      <dgm:spPr/>
      <dgm:t>
        <a:bodyPr/>
        <a:lstStyle/>
        <a:p>
          <a:endParaRPr lang="pl-PL"/>
        </a:p>
      </dgm:t>
    </dgm:pt>
    <dgm:pt modelId="{3ECB9177-8C1A-4242-9E21-F475BB8EC384}" type="sibTrans" cxnId="{B49FBEC2-B3EB-4FED-8588-BEC1E825F361}">
      <dgm:prSet/>
      <dgm:spPr/>
      <dgm:t>
        <a:bodyPr/>
        <a:lstStyle/>
        <a:p>
          <a:endParaRPr lang="pl-PL"/>
        </a:p>
      </dgm:t>
    </dgm:pt>
    <dgm:pt modelId="{D4C3DA27-32B8-4859-B72F-675E3AC3BE70}">
      <dgm:prSet phldrT="[Tekst]" custT="1"/>
      <dgm:spPr/>
      <dgm:t>
        <a:bodyPr/>
        <a:lstStyle/>
        <a:p>
          <a:r>
            <a:rPr lang="pl-PL" sz="1200" b="1" dirty="0" err="1">
              <a:solidFill>
                <a:schemeClr val="accent4">
                  <a:lumMod val="50000"/>
                </a:schemeClr>
              </a:solidFill>
            </a:rPr>
            <a:t>Nízkouhlíková ekonomika</a:t>
          </a:r>
          <a:endParaRPr lang="pl-PL" sz="1200" b="1" dirty="0">
            <a:solidFill>
              <a:schemeClr val="accent4">
                <a:lumMod val="50000"/>
              </a:schemeClr>
            </a:solidFill>
          </a:endParaRPr>
        </a:p>
      </dgm:t>
    </dgm:pt>
    <dgm:pt modelId="{EAA0E3A2-87CC-4399-ACFC-149BA4939017}" type="parTrans" cxnId="{4C798210-CCA7-44D3-A2BE-5C2AAD09D41A}">
      <dgm:prSet/>
      <dgm:spPr/>
      <dgm:t>
        <a:bodyPr/>
        <a:lstStyle/>
        <a:p>
          <a:endParaRPr lang="pl-PL"/>
        </a:p>
      </dgm:t>
    </dgm:pt>
    <dgm:pt modelId="{1E346B9F-FA0F-4079-A58A-29C013B05970}" type="sibTrans" cxnId="{4C798210-CCA7-44D3-A2BE-5C2AAD09D41A}">
      <dgm:prSet/>
      <dgm:spPr/>
      <dgm:t>
        <a:bodyPr/>
        <a:lstStyle/>
        <a:p>
          <a:endParaRPr lang="pl-PL"/>
        </a:p>
      </dgm:t>
    </dgm:pt>
    <dgm:pt modelId="{11D1616A-30B8-490B-B788-A218F4D76A17}">
      <dgm:prSet phldrT="[Tekst]" custT="1"/>
      <dgm:spPr/>
      <dgm:t>
        <a:bodyPr/>
        <a:lstStyle/>
        <a:p>
          <a:r>
            <a:rPr lang="pl-PL" sz="1200" b="1" dirty="0" err="1">
              <a:solidFill>
                <a:schemeClr val="accent4">
                  <a:lumMod val="75000"/>
                </a:schemeClr>
              </a:solidFill>
            </a:rPr>
            <a:t>Oběhová ekonomika</a:t>
          </a:r>
          <a:endParaRPr lang="pl-PL" sz="1200" b="1" dirty="0">
            <a:solidFill>
              <a:schemeClr val="accent4">
                <a:lumMod val="75000"/>
              </a:schemeClr>
            </a:solidFill>
          </a:endParaRPr>
        </a:p>
      </dgm:t>
    </dgm:pt>
    <dgm:pt modelId="{1D10F425-7EA3-4C1D-833E-8AE3A08A7BB9}" type="parTrans" cxnId="{F1DA92BA-D31E-4E01-8C47-1E0AB7F4C50C}">
      <dgm:prSet/>
      <dgm:spPr/>
      <dgm:t>
        <a:bodyPr/>
        <a:lstStyle/>
        <a:p>
          <a:endParaRPr lang="pl-PL"/>
        </a:p>
      </dgm:t>
    </dgm:pt>
    <dgm:pt modelId="{AD619CC5-363A-4BD6-A129-5C7B176B4F98}" type="sibTrans" cxnId="{F1DA92BA-D31E-4E01-8C47-1E0AB7F4C50C}">
      <dgm:prSet/>
      <dgm:spPr/>
      <dgm:t>
        <a:bodyPr/>
        <a:lstStyle/>
        <a:p>
          <a:endParaRPr lang="pl-PL"/>
        </a:p>
      </dgm:t>
    </dgm:pt>
    <dgm:pt modelId="{F76C665A-597A-4A54-8EC0-1670BFFA98A4}">
      <dgm:prSet custT="1"/>
      <dgm:spPr/>
      <dgm:t>
        <a:bodyPr/>
        <a:lstStyle/>
        <a:p>
          <a:r>
            <a:rPr lang="pl-PL" sz="1600" b="1" dirty="0">
              <a:solidFill>
                <a:schemeClr val="accent6">
                  <a:lumMod val="75000"/>
                </a:schemeClr>
              </a:solidFill>
            </a:rPr>
            <a:t>Zelená ekonomika</a:t>
          </a:r>
        </a:p>
      </dgm:t>
    </dgm:pt>
    <dgm:pt modelId="{8297FC21-81CE-4388-AAFB-B5E9B1EC47AB}" type="parTrans" cxnId="{5475B4D6-D6D7-411D-A82F-4DBC2C4C0DB7}">
      <dgm:prSet/>
      <dgm:spPr/>
      <dgm:t>
        <a:bodyPr/>
        <a:lstStyle/>
        <a:p>
          <a:endParaRPr lang="pl-PL"/>
        </a:p>
      </dgm:t>
    </dgm:pt>
    <dgm:pt modelId="{EA7F87C0-F61F-403F-A236-20CA899088FA}" type="sibTrans" cxnId="{5475B4D6-D6D7-411D-A82F-4DBC2C4C0DB7}">
      <dgm:prSet/>
      <dgm:spPr/>
      <dgm:t>
        <a:bodyPr/>
        <a:lstStyle/>
        <a:p>
          <a:endParaRPr lang="pl-PL"/>
        </a:p>
      </dgm:t>
    </dgm:pt>
    <dgm:pt modelId="{E3BC11F2-46D1-4619-9BB4-5E8A4DB94DA6}" type="pres">
      <dgm:prSet presAssocID="{5570BC78-10A3-4B1D-90F9-3BF8D86A2429}" presName="arrowDiagram" presStyleCnt="0">
        <dgm:presLayoutVars>
          <dgm:chMax val="5"/>
          <dgm:dir/>
          <dgm:resizeHandles val="exact"/>
        </dgm:presLayoutVars>
      </dgm:prSet>
      <dgm:spPr/>
    </dgm:pt>
    <dgm:pt modelId="{C032CDF2-EA52-48CB-A522-2518F7FCF1EB}" type="pres">
      <dgm:prSet presAssocID="{5570BC78-10A3-4B1D-90F9-3BF8D86A2429}" presName="arrow" presStyleLbl="bgShp" presStyleIdx="0" presStyleCnt="1"/>
      <dgm:spPr/>
    </dgm:pt>
    <dgm:pt modelId="{37572E60-5FEE-44FC-A960-ADC79C7F07E4}" type="pres">
      <dgm:prSet presAssocID="{5570BC78-10A3-4B1D-90F9-3BF8D86A2429}" presName="arrowDiagram4" presStyleCnt="0"/>
      <dgm:spPr/>
    </dgm:pt>
    <dgm:pt modelId="{44CBB1C1-0C1E-4057-AD40-8236B9E31778}" type="pres">
      <dgm:prSet presAssocID="{1E7DA99E-7E9B-4FD4-BBD0-AE141C432F47}" presName="bullet4a" presStyleLbl="node1" presStyleIdx="0" presStyleCnt="4"/>
      <dgm:spPr/>
    </dgm:pt>
    <dgm:pt modelId="{5EBFE195-DA7D-4011-AD9C-BAD0500D385A}" type="pres">
      <dgm:prSet presAssocID="{1E7DA99E-7E9B-4FD4-BBD0-AE141C432F47}" presName="textBox4a" presStyleLbl="revTx" presStyleIdx="0" presStyleCnt="4" custScaleX="200890" custScaleY="36219" custLinFactNeighborX="66769" custLinFactNeighborY="-7380">
        <dgm:presLayoutVars>
          <dgm:bulletEnabled val="1"/>
        </dgm:presLayoutVars>
      </dgm:prSet>
      <dgm:spPr/>
    </dgm:pt>
    <dgm:pt modelId="{862F1A28-9E99-458F-8C86-C604620DAEB2}" type="pres">
      <dgm:prSet presAssocID="{D4C3DA27-32B8-4859-B72F-675E3AC3BE70}" presName="bullet4b" presStyleLbl="node1" presStyleIdx="1" presStyleCnt="4" custFlipHor="1" custScaleX="89028" custScaleY="76825" custLinFactX="105886" custLinFactNeighborX="200000" custLinFactNeighborY="-57871"/>
      <dgm:spPr/>
    </dgm:pt>
    <dgm:pt modelId="{2EC0D31F-F7FA-4506-93B1-5A73C2FE12C9}" type="pres">
      <dgm:prSet presAssocID="{D4C3DA27-32B8-4859-B72F-675E3AC3BE70}" presName="textBox4b" presStyleLbl="revTx" presStyleIdx="1" presStyleCnt="4" custScaleX="212886" custScaleY="19116" custLinFactX="2465" custLinFactNeighborX="100000" custLinFactNeighborY="-37668">
        <dgm:presLayoutVars>
          <dgm:bulletEnabled val="1"/>
        </dgm:presLayoutVars>
      </dgm:prSet>
      <dgm:spPr/>
    </dgm:pt>
    <dgm:pt modelId="{E3602233-1736-4741-814A-213870DFE8E2}" type="pres">
      <dgm:prSet presAssocID="{11D1616A-30B8-490B-B788-A218F4D76A17}" presName="bullet4c" presStyleLbl="node1" presStyleIdx="2" presStyleCnt="4" custScaleX="66588" custScaleY="64015" custLinFactX="-100000" custLinFactNeighborX="-126698" custLinFactNeighborY="8319"/>
      <dgm:spPr/>
    </dgm:pt>
    <dgm:pt modelId="{72EE4F4F-6BA6-4133-87EC-670624054451}" type="pres">
      <dgm:prSet presAssocID="{11D1616A-30B8-490B-B788-A218F4D76A17}" presName="textBox4c" presStyleLbl="revTx" presStyleIdx="2" presStyleCnt="4" custFlipVert="0" custScaleX="130716" custScaleY="24941" custLinFactNeighborX="-17949" custLinFactNeighborY="-60228">
        <dgm:presLayoutVars>
          <dgm:bulletEnabled val="1"/>
        </dgm:presLayoutVars>
      </dgm:prSet>
      <dgm:spPr/>
    </dgm:pt>
    <dgm:pt modelId="{DDD8343D-4CA9-4433-B6F2-0B7936687929}" type="pres">
      <dgm:prSet presAssocID="{F76C665A-597A-4A54-8EC0-1670BFFA98A4}" presName="bullet4d" presStyleLbl="node1" presStyleIdx="3" presStyleCnt="4" custScaleX="52839" custScaleY="52839"/>
      <dgm:spPr/>
    </dgm:pt>
    <dgm:pt modelId="{2EEE6D67-BF84-4B4D-82A5-226B66391895}" type="pres">
      <dgm:prSet presAssocID="{F76C665A-597A-4A54-8EC0-1670BFFA98A4}" presName="textBox4d" presStyleLbl="revTx" presStyleIdx="3" presStyleCnt="4" custScaleX="211497" custScaleY="36668" custLinFactNeighborX="77371" custLinFactNeighborY="-48507">
        <dgm:presLayoutVars>
          <dgm:bulletEnabled val="1"/>
        </dgm:presLayoutVars>
      </dgm:prSet>
      <dgm:spPr/>
    </dgm:pt>
  </dgm:ptLst>
  <dgm:cxnLst>
    <dgm:cxn modelId="{3EE51C0F-00BD-4425-9736-585C47102A86}" type="presOf" srcId="{5570BC78-10A3-4B1D-90F9-3BF8D86A2429}" destId="{E3BC11F2-46D1-4619-9BB4-5E8A4DB94DA6}" srcOrd="0" destOrd="0" presId="urn:microsoft.com/office/officeart/2005/8/layout/arrow2"/>
    <dgm:cxn modelId="{4C798210-CCA7-44D3-A2BE-5C2AAD09D41A}" srcId="{5570BC78-10A3-4B1D-90F9-3BF8D86A2429}" destId="{D4C3DA27-32B8-4859-B72F-675E3AC3BE70}" srcOrd="1" destOrd="0" parTransId="{EAA0E3A2-87CC-4399-ACFC-149BA4939017}" sibTransId="{1E346B9F-FA0F-4079-A58A-29C013B05970}"/>
    <dgm:cxn modelId="{38B0E644-5961-43BA-897A-41C5B4BB8EBA}" type="presOf" srcId="{11D1616A-30B8-490B-B788-A218F4D76A17}" destId="{72EE4F4F-6BA6-4133-87EC-670624054451}" srcOrd="0" destOrd="0" presId="urn:microsoft.com/office/officeart/2005/8/layout/arrow2"/>
    <dgm:cxn modelId="{94BDF878-7E05-49AD-8612-6658A0BFCD52}" type="presOf" srcId="{D4C3DA27-32B8-4859-B72F-675E3AC3BE70}" destId="{2EC0D31F-F7FA-4506-93B1-5A73C2FE12C9}" srcOrd="0" destOrd="0" presId="urn:microsoft.com/office/officeart/2005/8/layout/arrow2"/>
    <dgm:cxn modelId="{F1DA92BA-D31E-4E01-8C47-1E0AB7F4C50C}" srcId="{5570BC78-10A3-4B1D-90F9-3BF8D86A2429}" destId="{11D1616A-30B8-490B-B788-A218F4D76A17}" srcOrd="2" destOrd="0" parTransId="{1D10F425-7EA3-4C1D-833E-8AE3A08A7BB9}" sibTransId="{AD619CC5-363A-4BD6-A129-5C7B176B4F98}"/>
    <dgm:cxn modelId="{B49FBEC2-B3EB-4FED-8588-BEC1E825F361}" srcId="{5570BC78-10A3-4B1D-90F9-3BF8D86A2429}" destId="{1E7DA99E-7E9B-4FD4-BBD0-AE141C432F47}" srcOrd="0" destOrd="0" parTransId="{FA269F6D-1556-42A2-BB87-38BE47370533}" sibTransId="{3ECB9177-8C1A-4242-9E21-F475BB8EC384}"/>
    <dgm:cxn modelId="{9E368ED2-37AE-4E84-B533-696A4BEA0E51}" type="presOf" srcId="{1E7DA99E-7E9B-4FD4-BBD0-AE141C432F47}" destId="{5EBFE195-DA7D-4011-AD9C-BAD0500D385A}" srcOrd="0" destOrd="0" presId="urn:microsoft.com/office/officeart/2005/8/layout/arrow2"/>
    <dgm:cxn modelId="{5475B4D6-D6D7-411D-A82F-4DBC2C4C0DB7}" srcId="{5570BC78-10A3-4B1D-90F9-3BF8D86A2429}" destId="{F76C665A-597A-4A54-8EC0-1670BFFA98A4}" srcOrd="3" destOrd="0" parTransId="{8297FC21-81CE-4388-AAFB-B5E9B1EC47AB}" sibTransId="{EA7F87C0-F61F-403F-A236-20CA899088FA}"/>
    <dgm:cxn modelId="{2545BDEB-123D-4EFF-BFEF-FC75722F1153}" type="presOf" srcId="{F76C665A-597A-4A54-8EC0-1670BFFA98A4}" destId="{2EEE6D67-BF84-4B4D-82A5-226B66391895}" srcOrd="0" destOrd="0" presId="urn:microsoft.com/office/officeart/2005/8/layout/arrow2"/>
    <dgm:cxn modelId="{06F4291D-7494-4CFB-9B60-24C807B8907C}" type="presParOf" srcId="{E3BC11F2-46D1-4619-9BB4-5E8A4DB94DA6}" destId="{C032CDF2-EA52-48CB-A522-2518F7FCF1EB}" srcOrd="0" destOrd="0" presId="urn:microsoft.com/office/officeart/2005/8/layout/arrow2"/>
    <dgm:cxn modelId="{340F261A-6028-4404-B189-05DFEA21BB1F}" type="presParOf" srcId="{E3BC11F2-46D1-4619-9BB4-5E8A4DB94DA6}" destId="{37572E60-5FEE-44FC-A960-ADC79C7F07E4}" srcOrd="1" destOrd="0" presId="urn:microsoft.com/office/officeart/2005/8/layout/arrow2"/>
    <dgm:cxn modelId="{A6C094B9-12C3-49F6-B734-C89DCB470220}" type="presParOf" srcId="{37572E60-5FEE-44FC-A960-ADC79C7F07E4}" destId="{44CBB1C1-0C1E-4057-AD40-8236B9E31778}" srcOrd="0" destOrd="0" presId="urn:microsoft.com/office/officeart/2005/8/layout/arrow2"/>
    <dgm:cxn modelId="{CF9B615D-D9EA-46EC-87A5-13E75F9C2ECF}" type="presParOf" srcId="{37572E60-5FEE-44FC-A960-ADC79C7F07E4}" destId="{5EBFE195-DA7D-4011-AD9C-BAD0500D385A}" srcOrd="1" destOrd="0" presId="urn:microsoft.com/office/officeart/2005/8/layout/arrow2"/>
    <dgm:cxn modelId="{F8DE4D3E-51A3-4977-8B73-AEAB3C27C8B3}" type="presParOf" srcId="{37572E60-5FEE-44FC-A960-ADC79C7F07E4}" destId="{862F1A28-9E99-458F-8C86-C604620DAEB2}" srcOrd="2" destOrd="0" presId="urn:microsoft.com/office/officeart/2005/8/layout/arrow2"/>
    <dgm:cxn modelId="{999770D2-2794-49F8-8A90-7EEC17AFE3F6}" type="presParOf" srcId="{37572E60-5FEE-44FC-A960-ADC79C7F07E4}" destId="{2EC0D31F-F7FA-4506-93B1-5A73C2FE12C9}" srcOrd="3" destOrd="0" presId="urn:microsoft.com/office/officeart/2005/8/layout/arrow2"/>
    <dgm:cxn modelId="{2909C088-6B11-449E-AF73-F29603185F1D}" type="presParOf" srcId="{37572E60-5FEE-44FC-A960-ADC79C7F07E4}" destId="{E3602233-1736-4741-814A-213870DFE8E2}" srcOrd="4" destOrd="0" presId="urn:microsoft.com/office/officeart/2005/8/layout/arrow2"/>
    <dgm:cxn modelId="{1F2A29DC-6B1F-4EB0-90C6-9FF66C7BF675}" type="presParOf" srcId="{37572E60-5FEE-44FC-A960-ADC79C7F07E4}" destId="{72EE4F4F-6BA6-4133-87EC-670624054451}" srcOrd="5" destOrd="0" presId="urn:microsoft.com/office/officeart/2005/8/layout/arrow2"/>
    <dgm:cxn modelId="{F64BDB72-6AAB-4919-8ED8-26AE42E8C92B}" type="presParOf" srcId="{37572E60-5FEE-44FC-A960-ADC79C7F07E4}" destId="{DDD8343D-4CA9-4433-B6F2-0B7936687929}" srcOrd="6" destOrd="0" presId="urn:microsoft.com/office/officeart/2005/8/layout/arrow2"/>
    <dgm:cxn modelId="{1866A07F-EFA8-46E9-8D2A-A8C08C5FF933}" type="presParOf" srcId="{37572E60-5FEE-44FC-A960-ADC79C7F07E4}" destId="{2EEE6D67-BF84-4B4D-82A5-226B66391895}" srcOrd="7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8D218-F1FA-4B10-AE51-DBACA32B1D6F}">
      <dsp:nvSpPr>
        <dsp:cNvPr id="0" name=""/>
        <dsp:cNvSpPr/>
      </dsp:nvSpPr>
      <dsp:spPr>
        <a:xfrm>
          <a:off x="2880360" y="888689"/>
          <a:ext cx="2037875" cy="35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40"/>
              </a:lnTo>
              <a:lnTo>
                <a:pt x="2037875" y="176840"/>
              </a:lnTo>
              <a:lnTo>
                <a:pt x="2037875" y="35368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FEFEC-0793-4D2F-8D48-1B86806D2F00}">
      <dsp:nvSpPr>
        <dsp:cNvPr id="0" name=""/>
        <dsp:cNvSpPr/>
      </dsp:nvSpPr>
      <dsp:spPr>
        <a:xfrm>
          <a:off x="2834640" y="888689"/>
          <a:ext cx="91440" cy="3536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68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3A63F-ECD1-4E64-923D-55297E8EC8BC}">
      <dsp:nvSpPr>
        <dsp:cNvPr id="0" name=""/>
        <dsp:cNvSpPr/>
      </dsp:nvSpPr>
      <dsp:spPr>
        <a:xfrm>
          <a:off x="842484" y="888689"/>
          <a:ext cx="2037875" cy="353680"/>
        </a:xfrm>
        <a:custGeom>
          <a:avLst/>
          <a:gdLst/>
          <a:ahLst/>
          <a:cxnLst/>
          <a:rect l="0" t="0" r="0" b="0"/>
          <a:pathLst>
            <a:path>
              <a:moveTo>
                <a:pt x="2037875" y="0"/>
              </a:moveTo>
              <a:lnTo>
                <a:pt x="2037875" y="176840"/>
              </a:lnTo>
              <a:lnTo>
                <a:pt x="0" y="176840"/>
              </a:lnTo>
              <a:lnTo>
                <a:pt x="0" y="35368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95EAC-6CC3-41E2-93DE-F265A0AB1058}">
      <dsp:nvSpPr>
        <dsp:cNvPr id="0" name=""/>
        <dsp:cNvSpPr/>
      </dsp:nvSpPr>
      <dsp:spPr>
        <a:xfrm>
          <a:off x="2038262" y="46592"/>
          <a:ext cx="1684194" cy="842097"/>
        </a:xfrm>
        <a:prstGeom prst="rect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/>
            <a:t>Transformace směrem k zelené ekonomice</a:t>
          </a:r>
          <a:endParaRPr lang="pl-PL" sz="1400" b="0" kern="1200"/>
        </a:p>
      </dsp:txBody>
      <dsp:txXfrm>
        <a:off x="2038262" y="46592"/>
        <a:ext cx="1684194" cy="842097"/>
      </dsp:txXfrm>
    </dsp:sp>
    <dsp:sp modelId="{3BEC257F-84E6-4D7C-B103-C92060CCB7DB}">
      <dsp:nvSpPr>
        <dsp:cNvPr id="0" name=""/>
        <dsp:cNvSpPr/>
      </dsp:nvSpPr>
      <dsp:spPr>
        <a:xfrm>
          <a:off x="386" y="1242370"/>
          <a:ext cx="1684194" cy="842097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/>
            <a:t>přesuny mezi odvětvími</a:t>
          </a:r>
          <a:endParaRPr lang="pl-PL" sz="1400" b="0" kern="1200"/>
        </a:p>
      </dsp:txBody>
      <dsp:txXfrm>
        <a:off x="386" y="1242370"/>
        <a:ext cx="1684194" cy="842097"/>
      </dsp:txXfrm>
    </dsp:sp>
    <dsp:sp modelId="{D535DFDE-3823-4EC1-82B8-FD63D3B4A9B5}">
      <dsp:nvSpPr>
        <dsp:cNvPr id="0" name=""/>
        <dsp:cNvSpPr/>
      </dsp:nvSpPr>
      <dsp:spPr>
        <a:xfrm>
          <a:off x="2038262" y="1242370"/>
          <a:ext cx="1684194" cy="842097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/>
            <a:t>rozvoj nových povolání</a:t>
          </a:r>
          <a:endParaRPr lang="pl-PL" sz="1400" b="0" kern="1200"/>
        </a:p>
      </dsp:txBody>
      <dsp:txXfrm>
        <a:off x="2038262" y="1242370"/>
        <a:ext cx="1684194" cy="842097"/>
      </dsp:txXfrm>
    </dsp:sp>
    <dsp:sp modelId="{F8DAB4A9-D3ED-4C59-A7C7-6F2A95F5CDD6}">
      <dsp:nvSpPr>
        <dsp:cNvPr id="0" name=""/>
        <dsp:cNvSpPr/>
      </dsp:nvSpPr>
      <dsp:spPr>
        <a:xfrm>
          <a:off x="4076138" y="1242370"/>
          <a:ext cx="1684194" cy="842097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/>
            <a:t>změna kvalifikačních profilů povolání</a:t>
          </a:r>
          <a:endParaRPr lang="pl-PL" sz="1400" b="0" kern="1200"/>
        </a:p>
      </dsp:txBody>
      <dsp:txXfrm>
        <a:off x="4076138" y="1242370"/>
        <a:ext cx="1684194" cy="8420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32CDF2-EA52-48CB-A522-2518F7FCF1EB}">
      <dsp:nvSpPr>
        <dsp:cNvPr id="0" name=""/>
        <dsp:cNvSpPr/>
      </dsp:nvSpPr>
      <dsp:spPr>
        <a:xfrm>
          <a:off x="1349264" y="0"/>
          <a:ext cx="2892055" cy="1807535"/>
        </a:xfrm>
        <a:prstGeom prst="swooshArrow">
          <a:avLst>
            <a:gd name="adj1" fmla="val 25000"/>
            <a:gd name="adj2" fmla="val 2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CBB1C1-0C1E-4057-AD40-8236B9E31778}">
      <dsp:nvSpPr>
        <dsp:cNvPr id="0" name=""/>
        <dsp:cNvSpPr/>
      </dsp:nvSpPr>
      <dsp:spPr>
        <a:xfrm>
          <a:off x="1634132" y="1344083"/>
          <a:ext cx="66517" cy="665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FE195-DA7D-4011-AD9C-BAD0500D385A}">
      <dsp:nvSpPr>
        <dsp:cNvPr id="0" name=""/>
        <dsp:cNvSpPr/>
      </dsp:nvSpPr>
      <dsp:spPr>
        <a:xfrm>
          <a:off x="1748119" y="1482784"/>
          <a:ext cx="993484" cy="1558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246" tIns="0" rIns="0" bIns="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dirty="0"/>
            <a:t>Hnědá ekonomika</a:t>
          </a:r>
        </a:p>
      </dsp:txBody>
      <dsp:txXfrm>
        <a:off x="1748119" y="1482784"/>
        <a:ext cx="993484" cy="155811"/>
      </dsp:txXfrm>
    </dsp:sp>
    <dsp:sp modelId="{862F1A28-9E99-458F-8C86-C604620DAEB2}">
      <dsp:nvSpPr>
        <dsp:cNvPr id="0" name=""/>
        <dsp:cNvSpPr/>
      </dsp:nvSpPr>
      <dsp:spPr>
        <a:xfrm flipH="1">
          <a:off x="2464293" y="870108"/>
          <a:ext cx="102989" cy="888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C0D31F-F7FA-4506-93B1-5A73C2FE12C9}">
      <dsp:nvSpPr>
        <dsp:cNvPr id="0" name=""/>
        <dsp:cNvSpPr/>
      </dsp:nvSpPr>
      <dsp:spPr>
        <a:xfrm>
          <a:off x="2441438" y="1004405"/>
          <a:ext cx="1292924" cy="157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1298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 err="1">
              <a:solidFill>
                <a:schemeClr val="accent4">
                  <a:lumMod val="50000"/>
                </a:schemeClr>
              </a:solidFill>
            </a:rPr>
            <a:t>Nízkouhlíková ekonomika</a:t>
          </a:r>
          <a:endParaRPr lang="pl-PL" sz="1200" b="1" kern="1200" dirty="0">
            <a:solidFill>
              <a:schemeClr val="accent4">
                <a:lumMod val="50000"/>
              </a:schemeClr>
            </a:solidFill>
          </a:endParaRPr>
        </a:p>
      </dsp:txBody>
      <dsp:txXfrm>
        <a:off x="2441438" y="1004405"/>
        <a:ext cx="1292924" cy="157906"/>
      </dsp:txXfrm>
    </dsp:sp>
    <dsp:sp modelId="{E3602233-1736-4741-814A-213870DFE8E2}">
      <dsp:nvSpPr>
        <dsp:cNvPr id="0" name=""/>
        <dsp:cNvSpPr/>
      </dsp:nvSpPr>
      <dsp:spPr>
        <a:xfrm>
          <a:off x="2382319" y="654168"/>
          <a:ext cx="102065" cy="981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EE4F4F-6BA6-4133-87EC-670624054451}">
      <dsp:nvSpPr>
        <dsp:cNvPr id="0" name=""/>
        <dsp:cNvSpPr/>
      </dsp:nvSpPr>
      <dsp:spPr>
        <a:xfrm>
          <a:off x="2578548" y="436923"/>
          <a:ext cx="793879" cy="278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1219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 err="1">
              <a:solidFill>
                <a:schemeClr val="accent4">
                  <a:lumMod val="75000"/>
                </a:schemeClr>
              </a:solidFill>
            </a:rPr>
            <a:t>Oběhová ekonomika</a:t>
          </a:r>
          <a:endParaRPr lang="pl-PL" sz="1200" b="1" kern="1200" dirty="0">
            <a:solidFill>
              <a:schemeClr val="accent4">
                <a:lumMod val="75000"/>
              </a:schemeClr>
            </a:solidFill>
          </a:endParaRPr>
        </a:p>
      </dsp:txBody>
      <dsp:txXfrm>
        <a:off x="2578548" y="436923"/>
        <a:ext cx="793879" cy="278605"/>
      </dsp:txXfrm>
    </dsp:sp>
    <dsp:sp modelId="{DDD8343D-4CA9-4433-B6F2-0B7936687929}">
      <dsp:nvSpPr>
        <dsp:cNvPr id="0" name=""/>
        <dsp:cNvSpPr/>
      </dsp:nvSpPr>
      <dsp:spPr>
        <a:xfrm>
          <a:off x="3406216" y="457283"/>
          <a:ext cx="108497" cy="108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EE6D67-BF84-4B4D-82A5-226B66391895}">
      <dsp:nvSpPr>
        <dsp:cNvPr id="0" name=""/>
        <dsp:cNvSpPr/>
      </dsp:nvSpPr>
      <dsp:spPr>
        <a:xfrm>
          <a:off x="3591785" y="293272"/>
          <a:ext cx="1284488" cy="475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803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chemeClr val="accent6">
                  <a:lumMod val="75000"/>
                </a:schemeClr>
              </a:solidFill>
            </a:rPr>
            <a:t>Zelená ekonomika</a:t>
          </a:r>
        </a:p>
      </dsp:txBody>
      <dsp:txXfrm>
        <a:off x="3591785" y="293272"/>
        <a:ext cx="1284488" cy="475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FD9F54F41DA4CA4BCD5221C223120" ma:contentTypeVersion="4" ma:contentTypeDescription="Vytvoří nový dokument" ma:contentTypeScope="" ma:versionID="754d5ce0156ff18297c4e096d7732226">
  <xsd:schema xmlns:xsd="http://www.w3.org/2001/XMLSchema" xmlns:xs="http://www.w3.org/2001/XMLSchema" xmlns:p="http://schemas.microsoft.com/office/2006/metadata/properties" xmlns:ns2="a7ebe3aa-8a86-4898-a9a5-7a60c3c126bd" targetNamespace="http://schemas.microsoft.com/office/2006/metadata/properties" ma:root="true" ma:fieldsID="d5788715fe3da8cfd1221fa1a8160301" ns2:_="">
    <xsd:import namespace="a7ebe3aa-8a86-4898-a9a5-7a60c3c12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e3aa-8a86-4898-a9a5-7a60c3c12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 položk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B57D-5A48-4D29-8D29-D335A4DA0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A5A6-CC35-46F3-AFCF-8666564CF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B08EB-6AAA-47AB-898D-1D2E8838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e3aa-8a86-4898-a9a5-7a60c3c12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3089D-EF1D-4E52-9A3C-697EEB02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17066</Words>
  <Characters>100690</Characters>
  <Application>Microsoft Office Word</Application>
  <DocSecurity>0</DocSecurity>
  <Lines>839</Lines>
  <Paragraphs>235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SDG Labs Research ReportGreen skills in (the field of) Social Economy.</vt:lpstr>
      <vt:lpstr>SDG Labs Research ReportGreen skills in (the field of) Social Economy.</vt:lpstr>
    </vt:vector>
  </TitlesOfParts>
  <Company/>
  <LinksUpToDate>false</LinksUpToDate>
  <CharactersWithSpaces>117521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 Labs Research ReportGreen skills in (the field of) Social Economy.</dc:title>
  <dc:subject>The theoretical model of Socially Driven Green Labs programme</dc:subject>
  <dc:creator>Renata Śliwa</dc:creator>
  <cp:keywords>, docId:5A97B6C37A8C16D7ADE5C2A0F0AE5847</cp:keywords>
  <dc:description/>
  <cp:lastModifiedBy>Dagmar Borovská</cp:lastModifiedBy>
  <cp:revision>2</cp:revision>
  <cp:lastPrinted>2022-07-19T07:38:00Z</cp:lastPrinted>
  <dcterms:created xsi:type="dcterms:W3CDTF">2022-10-26T11:57:00Z</dcterms:created>
  <dcterms:modified xsi:type="dcterms:W3CDTF">2022-10-26T11:57:00Z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0x0101000F2FD9F54F41DA4CA4BCD5221C223120</vt:lpwstr>
  </property>
</Properties>
</file>